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497"/>
        <w:gridCol w:w="4523"/>
      </w:tblGrid>
      <w:tr w:rsidR="00165F72" w:rsidRPr="005C742C" w14:paraId="73E221D8" w14:textId="77777777" w:rsidTr="002949ED">
        <w:tc>
          <w:tcPr>
            <w:tcW w:w="4497" w:type="dxa"/>
            <w:tcBorders>
              <w:right w:val="single" w:sz="4" w:space="0" w:color="auto"/>
            </w:tcBorders>
          </w:tcPr>
          <w:p w14:paraId="687C2441" w14:textId="77777777" w:rsidR="000C40D7" w:rsidRDefault="00165F72" w:rsidP="00C02836">
            <w:pPr>
              <w:rPr>
                <w:rFonts w:cs="Arial"/>
              </w:rPr>
            </w:pPr>
            <w:r w:rsidRPr="005C742C">
              <w:rPr>
                <w:rFonts w:cs="Arial"/>
                <w:b/>
              </w:rPr>
              <w:t xml:space="preserve">HISHAM HAMED, </w:t>
            </w:r>
            <w:r w:rsidRPr="00033207">
              <w:rPr>
                <w:rFonts w:cs="Arial"/>
                <w:bCs/>
              </w:rPr>
              <w:t>individually</w:t>
            </w:r>
            <w:r w:rsidRPr="005C742C">
              <w:rPr>
                <w:rFonts w:cs="Arial"/>
                <w:b/>
              </w:rPr>
              <w:t>,</w:t>
            </w:r>
            <w:r w:rsidRPr="005C742C">
              <w:rPr>
                <w:rFonts w:cs="Arial"/>
              </w:rPr>
              <w:t xml:space="preserve"> </w:t>
            </w:r>
          </w:p>
          <w:p w14:paraId="5933C507" w14:textId="321A955B" w:rsidR="000C40D7" w:rsidRDefault="00165F72" w:rsidP="00C02836">
            <w:pPr>
              <w:rPr>
                <w:rFonts w:cs="Arial"/>
                <w:b/>
              </w:rPr>
            </w:pPr>
            <w:r w:rsidRPr="005C742C">
              <w:rPr>
                <w:rFonts w:cs="Arial"/>
              </w:rPr>
              <w:t>and</w:t>
            </w:r>
            <w:r w:rsidRPr="005C742C">
              <w:rPr>
                <w:rFonts w:cs="Arial"/>
                <w:b/>
              </w:rPr>
              <w:t xml:space="preserve"> </w:t>
            </w:r>
            <w:r w:rsidRPr="005C742C">
              <w:rPr>
                <w:rFonts w:cs="Arial"/>
              </w:rPr>
              <w:t>derivatively on behalf of</w:t>
            </w:r>
            <w:r w:rsidRPr="005C742C">
              <w:rPr>
                <w:rFonts w:cs="Arial"/>
                <w:b/>
              </w:rPr>
              <w:t xml:space="preserve"> </w:t>
            </w:r>
          </w:p>
          <w:p w14:paraId="183887BC" w14:textId="7D87AE39" w:rsidR="00165F72" w:rsidRPr="005C742C" w:rsidRDefault="00165F72" w:rsidP="00C02836">
            <w:pPr>
              <w:rPr>
                <w:rFonts w:cs="Arial"/>
                <w:b/>
                <w:bCs/>
              </w:rPr>
            </w:pPr>
            <w:r w:rsidRPr="005C742C">
              <w:rPr>
                <w:rFonts w:cs="Arial"/>
                <w:b/>
              </w:rPr>
              <w:t>SIXTEEN PLUS CORPORATION</w:t>
            </w:r>
            <w:r w:rsidRPr="005C742C">
              <w:rPr>
                <w:rFonts w:cs="Arial"/>
                <w:b/>
                <w:bCs/>
              </w:rPr>
              <w:t>,</w:t>
            </w:r>
          </w:p>
          <w:p w14:paraId="4BBBF0C4" w14:textId="77777777" w:rsidR="00165F72" w:rsidRPr="005C742C" w:rsidRDefault="00165F72" w:rsidP="00C02836">
            <w:pPr>
              <w:rPr>
                <w:rFonts w:cs="Arial"/>
                <w:b/>
                <w:bCs/>
              </w:rPr>
            </w:pPr>
          </w:p>
          <w:p w14:paraId="04107542"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Plaintiff,</w:t>
            </w:r>
          </w:p>
          <w:p w14:paraId="066F2797" w14:textId="77777777" w:rsidR="00165F72" w:rsidRPr="005C742C" w:rsidRDefault="00165F72" w:rsidP="00C02836">
            <w:pPr>
              <w:rPr>
                <w:rFonts w:cs="Arial"/>
                <w:bCs/>
              </w:rPr>
            </w:pPr>
            <w:r w:rsidRPr="005C742C">
              <w:rPr>
                <w:rFonts w:cs="Arial"/>
                <w:b/>
                <w:bCs/>
              </w:rPr>
              <w:tab/>
            </w:r>
            <w:r w:rsidRPr="005C742C">
              <w:rPr>
                <w:rFonts w:cs="Arial"/>
                <w:bCs/>
              </w:rPr>
              <w:t>v.</w:t>
            </w:r>
          </w:p>
          <w:p w14:paraId="714E91B0" w14:textId="0D2F89CA" w:rsidR="00165F72" w:rsidRPr="005C742C" w:rsidRDefault="00165F72" w:rsidP="00C02836">
            <w:pPr>
              <w:pStyle w:val="yiv784145645msonormal"/>
              <w:rPr>
                <w:rFonts w:ascii="Arial" w:hAnsi="Arial" w:cs="Arial"/>
                <w:b/>
              </w:rPr>
            </w:pPr>
            <w:r w:rsidRPr="005C742C">
              <w:rPr>
                <w:rFonts w:ascii="Arial" w:hAnsi="Arial" w:cs="Arial"/>
                <w:b/>
              </w:rPr>
              <w:t>FATHI YUSUF, ISAM YOUSUF</w:t>
            </w:r>
            <w:r w:rsidRPr="005C742C">
              <w:rPr>
                <w:rFonts w:ascii="Arial" w:hAnsi="Arial" w:cs="Arial"/>
                <w:bCs/>
              </w:rPr>
              <w:t xml:space="preserve"> and </w:t>
            </w:r>
            <w:r w:rsidRPr="005C742C">
              <w:rPr>
                <w:rFonts w:ascii="Arial" w:hAnsi="Arial" w:cs="Arial"/>
                <w:b/>
                <w:bCs/>
              </w:rPr>
              <w:t>JAMIL YOUS</w:t>
            </w:r>
            <w:r w:rsidR="00033207">
              <w:rPr>
                <w:rFonts w:ascii="Arial" w:hAnsi="Arial" w:cs="Arial"/>
                <w:b/>
                <w:bCs/>
              </w:rPr>
              <w:t>U</w:t>
            </w:r>
            <w:r w:rsidRPr="005C742C">
              <w:rPr>
                <w:rFonts w:ascii="Arial" w:hAnsi="Arial" w:cs="Arial"/>
                <w:b/>
                <w:bCs/>
              </w:rPr>
              <w:t>F</w:t>
            </w:r>
          </w:p>
          <w:p w14:paraId="6E37F1DD" w14:textId="77777777" w:rsidR="00165F72" w:rsidRPr="005C742C" w:rsidRDefault="00165F72" w:rsidP="00C02836">
            <w:pPr>
              <w:rPr>
                <w:rFonts w:cs="Arial"/>
                <w:bCs/>
                <w:i/>
              </w:rPr>
            </w:pPr>
            <w:r w:rsidRPr="005C742C">
              <w:rPr>
                <w:rFonts w:cs="Arial"/>
                <w:b/>
                <w:bCs/>
              </w:rPr>
              <w:tab/>
            </w:r>
            <w:r w:rsidRPr="005C742C">
              <w:rPr>
                <w:rFonts w:cs="Arial"/>
                <w:b/>
                <w:bCs/>
              </w:rPr>
              <w:tab/>
            </w:r>
            <w:r w:rsidRPr="005C742C">
              <w:rPr>
                <w:rFonts w:cs="Arial"/>
                <w:bCs/>
                <w:i/>
              </w:rPr>
              <w:t>Defendants,</w:t>
            </w:r>
          </w:p>
          <w:p w14:paraId="73469EE6" w14:textId="77777777" w:rsidR="00165F72" w:rsidRPr="005C742C" w:rsidRDefault="00165F72" w:rsidP="00C02836">
            <w:pPr>
              <w:rPr>
                <w:rFonts w:cs="Arial"/>
                <w:b/>
                <w:bCs/>
              </w:rPr>
            </w:pPr>
          </w:p>
          <w:p w14:paraId="774AC1E1" w14:textId="3A3D1F25" w:rsidR="00165F72" w:rsidRPr="005C742C" w:rsidRDefault="00165F72" w:rsidP="00C02836">
            <w:pPr>
              <w:rPr>
                <w:rFonts w:cs="Arial"/>
                <w:bCs/>
              </w:rPr>
            </w:pPr>
            <w:r w:rsidRPr="005C742C">
              <w:rPr>
                <w:rFonts w:cs="Arial"/>
                <w:bCs/>
              </w:rPr>
              <w:t xml:space="preserve">          and</w:t>
            </w:r>
          </w:p>
          <w:p w14:paraId="09FCDD56" w14:textId="77777777" w:rsidR="00165F72" w:rsidRPr="005C742C" w:rsidRDefault="00165F72" w:rsidP="00C02836">
            <w:pPr>
              <w:rPr>
                <w:rFonts w:cs="Arial"/>
                <w:b/>
                <w:bCs/>
              </w:rPr>
            </w:pPr>
          </w:p>
          <w:p w14:paraId="44C3E4D0" w14:textId="77777777" w:rsidR="00165F72" w:rsidRPr="005C742C" w:rsidRDefault="00165F72" w:rsidP="00C02836">
            <w:pPr>
              <w:rPr>
                <w:rFonts w:cs="Arial"/>
                <w:b/>
                <w:bCs/>
              </w:rPr>
            </w:pPr>
            <w:r w:rsidRPr="005C742C">
              <w:rPr>
                <w:rFonts w:cs="Arial"/>
                <w:b/>
                <w:bCs/>
              </w:rPr>
              <w:t>SIXTEEN PLUS CORPORATION,</w:t>
            </w:r>
          </w:p>
          <w:p w14:paraId="2A2DDEB9" w14:textId="77777777" w:rsidR="00165F72" w:rsidRPr="005C742C" w:rsidRDefault="00165F72" w:rsidP="00C02836">
            <w:pPr>
              <w:rPr>
                <w:rFonts w:cs="Arial"/>
                <w:b/>
                <w:bCs/>
              </w:rPr>
            </w:pPr>
          </w:p>
          <w:p w14:paraId="3CC62CE8" w14:textId="4EEC0A78" w:rsidR="00165F72" w:rsidRPr="005C742C" w:rsidRDefault="00165F72" w:rsidP="00C02836">
            <w:pPr>
              <w:rPr>
                <w:rFonts w:cs="Arial"/>
                <w:bCs/>
                <w:i/>
              </w:rPr>
            </w:pPr>
            <w:r w:rsidRPr="005C742C">
              <w:rPr>
                <w:rFonts w:cs="Arial"/>
                <w:b/>
                <w:bCs/>
              </w:rPr>
              <w:t xml:space="preserve">             </w:t>
            </w:r>
            <w:r w:rsidR="00690C75">
              <w:rPr>
                <w:rFonts w:cs="Arial"/>
                <w:b/>
                <w:bCs/>
              </w:rPr>
              <w:t xml:space="preserve">         </w:t>
            </w:r>
            <w:r w:rsidRPr="005C742C">
              <w:rPr>
                <w:rFonts w:cs="Arial"/>
                <w:bCs/>
                <w:i/>
              </w:rPr>
              <w:t>a nominal Defendant.</w:t>
            </w:r>
          </w:p>
        </w:tc>
        <w:tc>
          <w:tcPr>
            <w:tcW w:w="4523" w:type="dxa"/>
          </w:tcPr>
          <w:p w14:paraId="356B48D5" w14:textId="0430DD39" w:rsidR="00033207" w:rsidRDefault="00165F72" w:rsidP="00C02836">
            <w:pPr>
              <w:rPr>
                <w:rFonts w:cs="Arial"/>
                <w:b/>
                <w:bCs/>
              </w:rPr>
            </w:pPr>
            <w:r w:rsidRPr="005C742C">
              <w:rPr>
                <w:rFonts w:cs="Arial"/>
                <w:b/>
                <w:bCs/>
              </w:rPr>
              <w:tab/>
              <w:t>Case No.: SX-</w:t>
            </w:r>
            <w:r w:rsidR="009F2AB4">
              <w:rPr>
                <w:rFonts w:cs="Arial"/>
                <w:b/>
                <w:bCs/>
              </w:rPr>
              <w:t>2016-</w:t>
            </w:r>
            <w:r w:rsidRPr="005C742C">
              <w:rPr>
                <w:rFonts w:cs="Arial"/>
                <w:b/>
                <w:bCs/>
              </w:rPr>
              <w:t>CV-</w:t>
            </w:r>
            <w:r w:rsidR="009F2AB4">
              <w:rPr>
                <w:rFonts w:cs="Arial"/>
                <w:b/>
                <w:bCs/>
              </w:rPr>
              <w:t>00</w:t>
            </w:r>
            <w:r w:rsidRPr="005C742C">
              <w:rPr>
                <w:rFonts w:cs="Arial"/>
                <w:b/>
                <w:bCs/>
              </w:rPr>
              <w:t>650</w:t>
            </w:r>
          </w:p>
          <w:p w14:paraId="68FA3102" w14:textId="062E331B" w:rsidR="00165F72" w:rsidRPr="005C742C" w:rsidRDefault="00165F72" w:rsidP="00C02836">
            <w:pPr>
              <w:rPr>
                <w:rFonts w:cs="Arial"/>
                <w:b/>
                <w:bCs/>
              </w:rPr>
            </w:pPr>
            <w:r w:rsidRPr="005C742C">
              <w:rPr>
                <w:rFonts w:cs="Arial"/>
                <w:b/>
                <w:bCs/>
              </w:rPr>
              <w:t xml:space="preserve"> </w:t>
            </w:r>
          </w:p>
          <w:p w14:paraId="6136F7FC" w14:textId="77777777" w:rsidR="00165F72" w:rsidRPr="005C742C" w:rsidRDefault="00165F72" w:rsidP="00C02836">
            <w:pPr>
              <w:rPr>
                <w:rFonts w:cs="Arial"/>
                <w:b/>
                <w:bCs/>
              </w:rPr>
            </w:pPr>
          </w:p>
          <w:p w14:paraId="14D46BB8" w14:textId="6FD5EBCB" w:rsidR="00165F72" w:rsidRDefault="00165F72" w:rsidP="00C02836">
            <w:pPr>
              <w:ind w:left="702" w:hanging="702"/>
              <w:rPr>
                <w:rFonts w:cs="Arial"/>
                <w:b/>
                <w:bCs/>
              </w:rPr>
            </w:pPr>
            <w:r w:rsidRPr="005C742C">
              <w:rPr>
                <w:rFonts w:cs="Arial"/>
                <w:b/>
                <w:bCs/>
              </w:rPr>
              <w:tab/>
              <w:t>DERIVATIVE SHAREHOLDER SUIT, ACTION FOR DAMAGES AND CICO RELIEF</w:t>
            </w:r>
          </w:p>
          <w:p w14:paraId="7CC3B178" w14:textId="77777777" w:rsidR="00033207" w:rsidRPr="005C742C" w:rsidRDefault="00033207" w:rsidP="00C02836">
            <w:pPr>
              <w:ind w:left="702" w:hanging="702"/>
              <w:rPr>
                <w:rFonts w:cs="Arial"/>
                <w:b/>
                <w:bCs/>
              </w:rPr>
            </w:pPr>
          </w:p>
          <w:p w14:paraId="34353E46" w14:textId="77777777" w:rsidR="00165F72" w:rsidRPr="005C742C" w:rsidRDefault="00165F72" w:rsidP="00C02836">
            <w:pPr>
              <w:rPr>
                <w:rFonts w:cs="Arial"/>
                <w:b/>
                <w:bCs/>
              </w:rPr>
            </w:pPr>
          </w:p>
          <w:p w14:paraId="79A2C164" w14:textId="77777777" w:rsidR="00165F72" w:rsidRPr="005C742C" w:rsidRDefault="00165F72" w:rsidP="00C02836">
            <w:pPr>
              <w:rPr>
                <w:rFonts w:cs="Arial"/>
                <w:b/>
                <w:bCs/>
                <w:u w:val="single"/>
              </w:rPr>
            </w:pPr>
            <w:r w:rsidRPr="005C742C">
              <w:rPr>
                <w:rFonts w:cs="Arial"/>
                <w:b/>
                <w:bCs/>
              </w:rPr>
              <w:tab/>
            </w:r>
            <w:r w:rsidRPr="005C742C">
              <w:rPr>
                <w:rFonts w:cs="Arial"/>
                <w:b/>
                <w:bCs/>
                <w:u w:val="single"/>
              </w:rPr>
              <w:t>JURY TRIAL DEMANDED</w:t>
            </w:r>
          </w:p>
        </w:tc>
      </w:tr>
      <w:tr w:rsidR="00165F72" w:rsidRPr="005C742C" w14:paraId="7348756A" w14:textId="77777777" w:rsidTr="002949ED">
        <w:tc>
          <w:tcPr>
            <w:tcW w:w="4497" w:type="dxa"/>
            <w:tcBorders>
              <w:bottom w:val="single" w:sz="4" w:space="0" w:color="auto"/>
              <w:right w:val="single" w:sz="4" w:space="0" w:color="auto"/>
            </w:tcBorders>
          </w:tcPr>
          <w:p w14:paraId="453959DF" w14:textId="77777777" w:rsidR="00165F72" w:rsidRPr="005C742C" w:rsidRDefault="00165F72" w:rsidP="00C02836">
            <w:pPr>
              <w:rPr>
                <w:rFonts w:cs="Arial"/>
                <w:b/>
              </w:rPr>
            </w:pPr>
          </w:p>
        </w:tc>
        <w:tc>
          <w:tcPr>
            <w:tcW w:w="4523" w:type="dxa"/>
          </w:tcPr>
          <w:p w14:paraId="4439AA56" w14:textId="77777777" w:rsidR="00165F72" w:rsidRPr="005C742C" w:rsidRDefault="00165F72" w:rsidP="00C02836">
            <w:pPr>
              <w:rPr>
                <w:rFonts w:cs="Arial"/>
                <w:b/>
                <w:bCs/>
              </w:rPr>
            </w:pPr>
          </w:p>
        </w:tc>
      </w:tr>
    </w:tbl>
    <w:p w14:paraId="65504E0D" w14:textId="6037179C" w:rsidR="00B82318" w:rsidRDefault="00000000"/>
    <w:p w14:paraId="1DCC62BC" w14:textId="77777777" w:rsidR="005F69BB" w:rsidRDefault="005F69BB" w:rsidP="005F69BB">
      <w:pPr>
        <w:adjustRightInd w:val="0"/>
        <w:contextualSpacing/>
        <w:jc w:val="center"/>
        <w:rPr>
          <w:rFonts w:cs="Arial"/>
          <w:b/>
          <w:bCs/>
        </w:rPr>
      </w:pPr>
      <w:bookmarkStart w:id="0" w:name="_Hlk121329315"/>
      <w:r>
        <w:rPr>
          <w:rFonts w:cs="Arial"/>
          <w:b/>
          <w:bCs/>
        </w:rPr>
        <w:t xml:space="preserve">HISHAM HAMED’S </w:t>
      </w:r>
    </w:p>
    <w:p w14:paraId="5A6B0332" w14:textId="584266BC" w:rsidR="00982060" w:rsidRDefault="00982060" w:rsidP="005F69BB">
      <w:pPr>
        <w:adjustRightInd w:val="0"/>
        <w:contextualSpacing/>
        <w:jc w:val="center"/>
        <w:rPr>
          <w:rFonts w:cs="Arial"/>
          <w:b/>
          <w:bCs/>
        </w:rPr>
      </w:pPr>
      <w:r>
        <w:rPr>
          <w:rFonts w:cs="Arial"/>
          <w:b/>
          <w:bCs/>
        </w:rPr>
        <w:t xml:space="preserve">MOTION TO AMEND </w:t>
      </w:r>
      <w:r w:rsidR="00915143">
        <w:rPr>
          <w:rFonts w:cs="Arial"/>
          <w:b/>
          <w:bCs/>
        </w:rPr>
        <w:t xml:space="preserve">HIS </w:t>
      </w:r>
      <w:r w:rsidR="00915143" w:rsidRPr="004F6D3C">
        <w:rPr>
          <w:rFonts w:cs="Arial"/>
          <w:b/>
          <w:bCs/>
          <w:i/>
          <w:iCs/>
        </w:rPr>
        <w:t>FIRST AMENDED COMPLAINT</w:t>
      </w:r>
      <w:r>
        <w:rPr>
          <w:rFonts w:cs="Arial"/>
          <w:b/>
          <w:bCs/>
        </w:rPr>
        <w:t xml:space="preserve"> </w:t>
      </w:r>
    </w:p>
    <w:p w14:paraId="7C2B8211" w14:textId="2EC2D4D2" w:rsidR="005F69BB" w:rsidRPr="005F69BB" w:rsidRDefault="00982060" w:rsidP="005F69BB">
      <w:pPr>
        <w:adjustRightInd w:val="0"/>
        <w:contextualSpacing/>
        <w:jc w:val="center"/>
        <w:rPr>
          <w:rFonts w:cs="Arial"/>
          <w:b/>
          <w:bCs/>
        </w:rPr>
      </w:pPr>
      <w:r>
        <w:rPr>
          <w:rFonts w:cs="Arial"/>
          <w:b/>
          <w:bCs/>
        </w:rPr>
        <w:t xml:space="preserve">TO </w:t>
      </w:r>
      <w:r w:rsidR="004F6D3C">
        <w:rPr>
          <w:rFonts w:cs="Arial"/>
          <w:b/>
          <w:bCs/>
        </w:rPr>
        <w:t>JOIN</w:t>
      </w:r>
      <w:r>
        <w:rPr>
          <w:rFonts w:cs="Arial"/>
          <w:b/>
          <w:bCs/>
        </w:rPr>
        <w:t xml:space="preserve"> MANAL YOUSUF AS A DEFENDANT</w:t>
      </w:r>
    </w:p>
    <w:p w14:paraId="418C6EA2" w14:textId="77777777" w:rsidR="00E001DA" w:rsidRPr="0001798E" w:rsidRDefault="00E001DA" w:rsidP="000C40D7">
      <w:pPr>
        <w:adjustRightInd w:val="0"/>
        <w:rPr>
          <w:rFonts w:cs="Arial"/>
          <w:b/>
          <w:sz w:val="16"/>
          <w:szCs w:val="16"/>
        </w:rPr>
      </w:pPr>
    </w:p>
    <w:p w14:paraId="403C927D" w14:textId="77777777" w:rsidR="00317D97" w:rsidRDefault="00317D97" w:rsidP="0004301D">
      <w:pPr>
        <w:ind w:left="5040"/>
        <w:rPr>
          <w:rFonts w:cs="Arial"/>
          <w:b/>
        </w:rPr>
      </w:pPr>
    </w:p>
    <w:bookmarkEnd w:id="0"/>
    <w:p w14:paraId="01CF29AF" w14:textId="60A49848" w:rsidR="00F00238" w:rsidRDefault="00F00238" w:rsidP="005F69BB">
      <w:pPr>
        <w:pStyle w:val="ListParagraph"/>
        <w:numPr>
          <w:ilvl w:val="0"/>
          <w:numId w:val="13"/>
        </w:numPr>
        <w:spacing w:after="0" w:line="480" w:lineRule="auto"/>
        <w:ind w:left="0" w:firstLine="0"/>
        <w:jc w:val="both"/>
        <w:outlineLvl w:val="0"/>
        <w:rPr>
          <w:rFonts w:ascii="Arial" w:hAnsi="Arial" w:cs="Arial"/>
          <w:b/>
          <w:sz w:val="24"/>
        </w:rPr>
      </w:pPr>
      <w:r>
        <w:rPr>
          <w:rFonts w:ascii="Arial" w:hAnsi="Arial" w:cs="Arial"/>
          <w:b/>
          <w:sz w:val="24"/>
        </w:rPr>
        <w:t>Introduction</w:t>
      </w:r>
    </w:p>
    <w:p w14:paraId="6908E9C5" w14:textId="47789427" w:rsidR="007562F3" w:rsidRDefault="00F00238" w:rsidP="00F00238">
      <w:pPr>
        <w:spacing w:line="480" w:lineRule="auto"/>
        <w:ind w:firstLine="720"/>
        <w:jc w:val="both"/>
        <w:outlineLvl w:val="0"/>
        <w:rPr>
          <w:rFonts w:cs="Arial"/>
          <w:bCs/>
        </w:rPr>
      </w:pPr>
      <w:r w:rsidRPr="00F00238">
        <w:rPr>
          <w:rFonts w:cs="Arial"/>
          <w:bCs/>
        </w:rPr>
        <w:t>Plaintiff Hisham Hamed moves the Court, pursuant to</w:t>
      </w:r>
      <w:r w:rsidR="00305E10">
        <w:rPr>
          <w:rFonts w:cs="Arial"/>
          <w:bCs/>
        </w:rPr>
        <w:t xml:space="preserve"> </w:t>
      </w:r>
      <w:r w:rsidR="00305E10" w:rsidRPr="00305E10">
        <w:rPr>
          <w:bdr w:val="none" w:sz="0" w:space="0" w:color="auto" w:frame="1"/>
        </w:rPr>
        <w:t xml:space="preserve">V.I. R. CIV. P. </w:t>
      </w:r>
      <w:r w:rsidR="00305E10">
        <w:rPr>
          <w:bdr w:val="none" w:sz="0" w:space="0" w:color="auto" w:frame="1"/>
        </w:rPr>
        <w:t>1</w:t>
      </w:r>
      <w:r w:rsidR="00305E10" w:rsidRPr="00305E10">
        <w:rPr>
          <w:bdr w:val="none" w:sz="0" w:space="0" w:color="auto" w:frame="1"/>
        </w:rPr>
        <w:t>5</w:t>
      </w:r>
      <w:r w:rsidR="00305E10">
        <w:rPr>
          <w:rFonts w:cs="Arial"/>
          <w:bCs/>
        </w:rPr>
        <w:t>(a)(2)</w:t>
      </w:r>
      <w:r w:rsidRPr="00F00238">
        <w:rPr>
          <w:rFonts w:cs="Arial"/>
          <w:bCs/>
        </w:rPr>
        <w:t xml:space="preserve">, to allow him to amend his </w:t>
      </w:r>
      <w:r w:rsidR="00BE76D3" w:rsidRPr="00606D06">
        <w:rPr>
          <w:rFonts w:cs="Arial"/>
          <w:bCs/>
          <w:i/>
          <w:iCs/>
        </w:rPr>
        <w:t>First Amended C</w:t>
      </w:r>
      <w:r w:rsidRPr="00606D06">
        <w:rPr>
          <w:rFonts w:cs="Arial"/>
          <w:bCs/>
          <w:i/>
          <w:iCs/>
        </w:rPr>
        <w:t>omplaint</w:t>
      </w:r>
      <w:r w:rsidRPr="00F00238">
        <w:rPr>
          <w:rFonts w:cs="Arial"/>
          <w:bCs/>
        </w:rPr>
        <w:t xml:space="preserve"> </w:t>
      </w:r>
      <w:r w:rsidR="00BE76D3">
        <w:rPr>
          <w:rFonts w:cs="Arial"/>
          <w:bCs/>
        </w:rPr>
        <w:t xml:space="preserve">(“FAC”) dated December 23, 2016, </w:t>
      </w:r>
      <w:r w:rsidRPr="00F00238">
        <w:rPr>
          <w:rFonts w:cs="Arial"/>
          <w:bCs/>
        </w:rPr>
        <w:t xml:space="preserve">to join Manal Yousef as a defendant. </w:t>
      </w:r>
      <w:r>
        <w:rPr>
          <w:rFonts w:cs="Arial"/>
          <w:bCs/>
        </w:rPr>
        <w:t xml:space="preserve">As discussed below, </w:t>
      </w:r>
      <w:r w:rsidR="004F6D3C">
        <w:rPr>
          <w:rFonts w:cs="Arial"/>
          <w:bCs/>
        </w:rPr>
        <w:t xml:space="preserve">while </w:t>
      </w:r>
      <w:r w:rsidRPr="00F00238">
        <w:rPr>
          <w:rFonts w:cs="Arial"/>
          <w:bCs/>
        </w:rPr>
        <w:t xml:space="preserve">Hamed originally believed that </w:t>
      </w:r>
      <w:r w:rsidR="00772BD0">
        <w:rPr>
          <w:rFonts w:cs="Arial"/>
          <w:bCs/>
        </w:rPr>
        <w:t>Manal</w:t>
      </w:r>
      <w:r w:rsidRPr="00F00238">
        <w:rPr>
          <w:rFonts w:cs="Arial"/>
          <w:bCs/>
        </w:rPr>
        <w:t xml:space="preserve"> was a knowing and active participant in the original </w:t>
      </w:r>
      <w:r>
        <w:rPr>
          <w:rFonts w:cs="Arial"/>
          <w:bCs/>
        </w:rPr>
        <w:t>acts</w:t>
      </w:r>
      <w:r w:rsidR="007562F3">
        <w:rPr>
          <w:rFonts w:cs="Arial"/>
          <w:bCs/>
        </w:rPr>
        <w:t xml:space="preserve"> that led to the creation of the sham note and mortgage at issue</w:t>
      </w:r>
      <w:r>
        <w:rPr>
          <w:rFonts w:cs="Arial"/>
          <w:bCs/>
        </w:rPr>
        <w:t xml:space="preserve"> </w:t>
      </w:r>
      <w:r w:rsidRPr="00F00238">
        <w:rPr>
          <w:rFonts w:cs="Arial"/>
          <w:bCs/>
        </w:rPr>
        <w:t>(1995-2003)</w:t>
      </w:r>
      <w:r w:rsidR="00192C5A">
        <w:rPr>
          <w:rFonts w:cs="Arial"/>
          <w:bCs/>
        </w:rPr>
        <w:t>—</w:t>
      </w:r>
      <w:r w:rsidR="004F6D3C">
        <w:rPr>
          <w:rFonts w:cs="Arial"/>
          <w:bCs/>
        </w:rPr>
        <w:t xml:space="preserve">he also felt </w:t>
      </w:r>
      <w:r w:rsidR="00772BD0">
        <w:rPr>
          <w:rFonts w:cs="Arial"/>
          <w:bCs/>
        </w:rPr>
        <w:t xml:space="preserve">that she was </w:t>
      </w:r>
      <w:r w:rsidR="004F6D3C">
        <w:rPr>
          <w:rFonts w:cs="Arial"/>
          <w:bCs/>
        </w:rPr>
        <w:t xml:space="preserve">a </w:t>
      </w:r>
      <w:proofErr w:type="gramStart"/>
      <w:r w:rsidR="00FF64CD">
        <w:rPr>
          <w:rFonts w:cs="Arial"/>
          <w:bCs/>
        </w:rPr>
        <w:t>straw-man</w:t>
      </w:r>
      <w:proofErr w:type="gramEnd"/>
      <w:r w:rsidR="00FF64CD">
        <w:rPr>
          <w:rFonts w:cs="Arial"/>
          <w:bCs/>
        </w:rPr>
        <w:t xml:space="preserve"> and </w:t>
      </w:r>
      <w:r w:rsidR="008B4A17">
        <w:rPr>
          <w:rFonts w:cs="Arial"/>
          <w:bCs/>
        </w:rPr>
        <w:t xml:space="preserve">dupe </w:t>
      </w:r>
      <w:r w:rsidR="00FF64CD">
        <w:rPr>
          <w:rFonts w:cs="Arial"/>
          <w:bCs/>
        </w:rPr>
        <w:t>who</w:t>
      </w:r>
      <w:r w:rsidR="004F6D3C">
        <w:rPr>
          <w:rFonts w:cs="Arial"/>
          <w:bCs/>
        </w:rPr>
        <w:t xml:space="preserve"> was </w:t>
      </w:r>
      <w:r w:rsidR="00772BD0">
        <w:rPr>
          <w:rFonts w:cs="Arial"/>
          <w:bCs/>
        </w:rPr>
        <w:t>not involved in the later conspiracy at issue</w:t>
      </w:r>
      <w:r w:rsidR="00192C5A">
        <w:rPr>
          <w:rFonts w:cs="Arial"/>
          <w:bCs/>
        </w:rPr>
        <w:t xml:space="preserve">. As </w:t>
      </w:r>
      <w:r w:rsidR="007562F3">
        <w:rPr>
          <w:rFonts w:cs="Arial"/>
          <w:bCs/>
        </w:rPr>
        <w:t xml:space="preserve">the </w:t>
      </w:r>
      <w:r w:rsidR="007562F3" w:rsidRPr="00606D06">
        <w:rPr>
          <w:rFonts w:cs="Arial"/>
          <w:bCs/>
          <w:i/>
          <w:iCs/>
          <w:u w:val="single"/>
        </w:rPr>
        <w:t>creation</w:t>
      </w:r>
      <w:r w:rsidR="007562F3">
        <w:rPr>
          <w:rFonts w:cs="Arial"/>
          <w:bCs/>
        </w:rPr>
        <w:t xml:space="preserve"> of those documents</w:t>
      </w:r>
      <w:r>
        <w:rPr>
          <w:rFonts w:cs="Arial"/>
          <w:bCs/>
        </w:rPr>
        <w:t xml:space="preserve"> </w:t>
      </w:r>
      <w:r w:rsidR="007562F3">
        <w:rPr>
          <w:rFonts w:cs="Arial"/>
          <w:bCs/>
        </w:rPr>
        <w:t>is</w:t>
      </w:r>
      <w:r>
        <w:rPr>
          <w:rFonts w:cs="Arial"/>
          <w:bCs/>
        </w:rPr>
        <w:t xml:space="preserve"> not part of the instant complain</w:t>
      </w:r>
      <w:r w:rsidR="007562F3">
        <w:rPr>
          <w:rFonts w:cs="Arial"/>
          <w:bCs/>
        </w:rPr>
        <w:t>t</w:t>
      </w:r>
      <w:r w:rsidR="00772BD0">
        <w:rPr>
          <w:rFonts w:cs="Arial"/>
          <w:bCs/>
        </w:rPr>
        <w:t xml:space="preserve"> </w:t>
      </w:r>
      <w:r w:rsidR="00192C5A">
        <w:rPr>
          <w:rFonts w:cs="Arial"/>
          <w:bCs/>
        </w:rPr>
        <w:t>she was not named</w:t>
      </w:r>
      <w:r>
        <w:rPr>
          <w:rFonts w:cs="Arial"/>
          <w:bCs/>
        </w:rPr>
        <w:t xml:space="preserve">. </w:t>
      </w:r>
      <w:r w:rsidR="00772BD0">
        <w:rPr>
          <w:rFonts w:cs="Arial"/>
          <w:bCs/>
        </w:rPr>
        <w:t xml:space="preserve">However, </w:t>
      </w:r>
      <w:r w:rsidR="004F6D3C">
        <w:rPr>
          <w:rFonts w:cs="Arial"/>
          <w:bCs/>
        </w:rPr>
        <w:t xml:space="preserve">following initial discovery </w:t>
      </w:r>
      <w:r w:rsidR="00FF64CD">
        <w:rPr>
          <w:rFonts w:cs="Arial"/>
          <w:bCs/>
        </w:rPr>
        <w:t>in this action</w:t>
      </w:r>
      <w:r w:rsidR="004F6D3C">
        <w:rPr>
          <w:rFonts w:cs="Arial"/>
          <w:bCs/>
        </w:rPr>
        <w:t xml:space="preserve">, </w:t>
      </w:r>
      <w:r w:rsidR="00772BD0">
        <w:rPr>
          <w:rFonts w:cs="Arial"/>
          <w:bCs/>
        </w:rPr>
        <w:t>Hamed</w:t>
      </w:r>
      <w:r w:rsidR="00696D26">
        <w:rPr>
          <w:rFonts w:cs="Arial"/>
          <w:bCs/>
        </w:rPr>
        <w:t xml:space="preserve"> </w:t>
      </w:r>
      <w:r w:rsidR="00192C5A">
        <w:rPr>
          <w:rFonts w:cs="Arial"/>
          <w:bCs/>
        </w:rPr>
        <w:t xml:space="preserve">now </w:t>
      </w:r>
      <w:r w:rsidR="00696D26">
        <w:rPr>
          <w:rFonts w:cs="Arial"/>
          <w:bCs/>
        </w:rPr>
        <w:t>believes</w:t>
      </w:r>
      <w:r w:rsidR="004F6D3C">
        <w:rPr>
          <w:rFonts w:cs="Arial"/>
          <w:bCs/>
        </w:rPr>
        <w:t xml:space="preserve"> he can prove </w:t>
      </w:r>
      <w:r w:rsidR="00696D26">
        <w:rPr>
          <w:rFonts w:cs="Arial"/>
          <w:bCs/>
        </w:rPr>
        <w:t>that she is</w:t>
      </w:r>
      <w:r w:rsidR="00772BD0">
        <w:rPr>
          <w:rFonts w:cs="Arial"/>
          <w:bCs/>
        </w:rPr>
        <w:t>, and has been,</w:t>
      </w:r>
      <w:r w:rsidR="00696D26">
        <w:rPr>
          <w:rFonts w:cs="Arial"/>
          <w:bCs/>
        </w:rPr>
        <w:t xml:space="preserve"> fully participatory with the defendants</w:t>
      </w:r>
      <w:r w:rsidR="00606D06">
        <w:rPr>
          <w:rFonts w:cs="Arial"/>
          <w:bCs/>
        </w:rPr>
        <w:t xml:space="preserve"> in the present conspiracy</w:t>
      </w:r>
      <w:r w:rsidR="00772BD0">
        <w:rPr>
          <w:rFonts w:cs="Arial"/>
          <w:bCs/>
        </w:rPr>
        <w:t>.</w:t>
      </w:r>
    </w:p>
    <w:p w14:paraId="6D4409D7" w14:textId="05D6028E" w:rsidR="00B847BA" w:rsidRDefault="006B0DD3" w:rsidP="00F00238">
      <w:pPr>
        <w:spacing w:line="480" w:lineRule="auto"/>
        <w:ind w:firstLine="720"/>
        <w:jc w:val="both"/>
        <w:outlineLvl w:val="0"/>
        <w:rPr>
          <w:rFonts w:cs="Arial"/>
          <w:bCs/>
        </w:rPr>
      </w:pPr>
      <w:r>
        <w:rPr>
          <w:rFonts w:cs="Arial"/>
          <w:bCs/>
        </w:rPr>
        <w:t xml:space="preserve">As an explanation of why this was not determined </w:t>
      </w:r>
      <w:r w:rsidR="00606D06">
        <w:rPr>
          <w:rFonts w:cs="Arial"/>
          <w:bCs/>
        </w:rPr>
        <w:t>previously</w:t>
      </w:r>
      <w:r>
        <w:rPr>
          <w:rFonts w:cs="Arial"/>
          <w:bCs/>
        </w:rPr>
        <w:t>, Hamed notes that t</w:t>
      </w:r>
      <w:r w:rsidR="00F00238">
        <w:rPr>
          <w:rFonts w:cs="Arial"/>
          <w:bCs/>
        </w:rPr>
        <w:t>h</w:t>
      </w:r>
      <w:r w:rsidR="00305E10">
        <w:rPr>
          <w:rFonts w:cs="Arial"/>
          <w:bCs/>
        </w:rPr>
        <w:t>is</w:t>
      </w:r>
      <w:r w:rsidR="00F00238">
        <w:rPr>
          <w:rFonts w:cs="Arial"/>
          <w:bCs/>
        </w:rPr>
        <w:t xml:space="preserve"> action has been </w:t>
      </w:r>
      <w:r>
        <w:rPr>
          <w:rFonts w:cs="Arial"/>
          <w:bCs/>
        </w:rPr>
        <w:t xml:space="preserve">effectively </w:t>
      </w:r>
      <w:r w:rsidR="00F00238">
        <w:rPr>
          <w:rFonts w:cs="Arial"/>
          <w:bCs/>
        </w:rPr>
        <w:t xml:space="preserve">stalled since 2017 due to a number of procedural </w:t>
      </w:r>
      <w:r w:rsidR="00F00238">
        <w:rPr>
          <w:rFonts w:cs="Arial"/>
          <w:bCs/>
        </w:rPr>
        <w:lastRenderedPageBreak/>
        <w:t>issues</w:t>
      </w:r>
      <w:r w:rsidR="008D0218">
        <w:rPr>
          <w:rFonts w:cs="Arial"/>
          <w:bCs/>
        </w:rPr>
        <w:t xml:space="preserve"> discussed below</w:t>
      </w:r>
      <w:r w:rsidR="00772BD0">
        <w:rPr>
          <w:rFonts w:cs="Arial"/>
          <w:bCs/>
        </w:rPr>
        <w:t>. N</w:t>
      </w:r>
      <w:r w:rsidR="00F00238">
        <w:rPr>
          <w:rFonts w:cs="Arial"/>
          <w:bCs/>
        </w:rPr>
        <w:t>o answers have been filed</w:t>
      </w:r>
      <w:r>
        <w:rPr>
          <w:rFonts w:cs="Arial"/>
          <w:bCs/>
        </w:rPr>
        <w:t xml:space="preserve"> </w:t>
      </w:r>
      <w:r w:rsidR="00772BD0">
        <w:rPr>
          <w:rFonts w:cs="Arial"/>
          <w:bCs/>
        </w:rPr>
        <w:t xml:space="preserve">yet, </w:t>
      </w:r>
      <w:r>
        <w:rPr>
          <w:rFonts w:cs="Arial"/>
          <w:bCs/>
        </w:rPr>
        <w:t xml:space="preserve">and no depositions </w:t>
      </w:r>
      <w:r w:rsidR="00606D06">
        <w:rPr>
          <w:rFonts w:cs="Arial"/>
          <w:bCs/>
        </w:rPr>
        <w:t xml:space="preserve">have been </w:t>
      </w:r>
      <w:r>
        <w:rPr>
          <w:rFonts w:cs="Arial"/>
          <w:bCs/>
        </w:rPr>
        <w:t>taken</w:t>
      </w:r>
      <w:r w:rsidR="00772BD0">
        <w:rPr>
          <w:rFonts w:cs="Arial"/>
          <w:bCs/>
        </w:rPr>
        <w:t xml:space="preserve"> or </w:t>
      </w:r>
      <w:r w:rsidR="00606D06">
        <w:rPr>
          <w:rFonts w:cs="Arial"/>
          <w:bCs/>
        </w:rPr>
        <w:t xml:space="preserve">are </w:t>
      </w:r>
      <w:r w:rsidR="00772BD0">
        <w:rPr>
          <w:rFonts w:cs="Arial"/>
          <w:bCs/>
        </w:rPr>
        <w:t>presently noticed</w:t>
      </w:r>
      <w:r w:rsidR="00F00238">
        <w:rPr>
          <w:rFonts w:cs="Arial"/>
          <w:bCs/>
        </w:rPr>
        <w:t xml:space="preserve">. </w:t>
      </w:r>
      <w:r w:rsidR="00FF64CD">
        <w:rPr>
          <w:rFonts w:cs="Arial"/>
          <w:bCs/>
        </w:rPr>
        <w:t>However, a</w:t>
      </w:r>
      <w:r w:rsidR="00344E94">
        <w:rPr>
          <w:rFonts w:cs="Arial"/>
          <w:bCs/>
        </w:rPr>
        <w:t>fter</w:t>
      </w:r>
      <w:r w:rsidR="00F00238">
        <w:rPr>
          <w:rFonts w:cs="Arial"/>
          <w:bCs/>
        </w:rPr>
        <w:t xml:space="preserve"> discovery re-started </w:t>
      </w:r>
      <w:r w:rsidR="00FF64CD">
        <w:rPr>
          <w:rFonts w:cs="Arial"/>
          <w:bCs/>
        </w:rPr>
        <w:t>this summer</w:t>
      </w:r>
      <w:r w:rsidR="00F00238">
        <w:rPr>
          <w:rFonts w:cs="Arial"/>
          <w:bCs/>
        </w:rPr>
        <w:t>,</w:t>
      </w:r>
      <w:r w:rsidR="00772BD0">
        <w:rPr>
          <w:rFonts w:cs="Arial"/>
          <w:bCs/>
        </w:rPr>
        <w:t xml:space="preserve"> Hamed’s view changed</w:t>
      </w:r>
      <w:r w:rsidR="00606D06">
        <w:rPr>
          <w:rFonts w:cs="Arial"/>
          <w:bCs/>
        </w:rPr>
        <w:t xml:space="preserve"> significantly</w:t>
      </w:r>
      <w:r w:rsidR="00772BD0">
        <w:rPr>
          <w:rFonts w:cs="Arial"/>
          <w:bCs/>
        </w:rPr>
        <w:t xml:space="preserve">. </w:t>
      </w:r>
      <w:r w:rsidR="00344E94">
        <w:rPr>
          <w:rFonts w:cs="Arial"/>
          <w:bCs/>
        </w:rPr>
        <w:t>T</w:t>
      </w:r>
      <w:r w:rsidR="00F00238" w:rsidRPr="00F00238">
        <w:rPr>
          <w:rFonts w:cs="Arial"/>
          <w:bCs/>
        </w:rPr>
        <w:t xml:space="preserve">he </w:t>
      </w:r>
      <w:r w:rsidR="00606D06">
        <w:rPr>
          <w:rFonts w:cs="Arial"/>
          <w:bCs/>
        </w:rPr>
        <w:t>discovery responses</w:t>
      </w:r>
      <w:r w:rsidR="00F00238" w:rsidRPr="00F00238">
        <w:rPr>
          <w:rFonts w:cs="Arial"/>
          <w:bCs/>
        </w:rPr>
        <w:t xml:space="preserve"> of the other defendants </w:t>
      </w:r>
      <w:r w:rsidR="00F00238">
        <w:rPr>
          <w:rFonts w:cs="Arial"/>
          <w:bCs/>
        </w:rPr>
        <w:t>here</w:t>
      </w:r>
      <w:r w:rsidR="007562F3">
        <w:rPr>
          <w:rFonts w:cs="Arial"/>
          <w:bCs/>
        </w:rPr>
        <w:t xml:space="preserve">, </w:t>
      </w:r>
      <w:r w:rsidR="00772BD0">
        <w:rPr>
          <w:rFonts w:cs="Arial"/>
          <w:bCs/>
        </w:rPr>
        <w:t xml:space="preserve">and further investigation </w:t>
      </w:r>
      <w:r w:rsidR="00344E94">
        <w:rPr>
          <w:rFonts w:cs="Arial"/>
          <w:bCs/>
        </w:rPr>
        <w:t xml:space="preserve">by counsel </w:t>
      </w:r>
      <w:r w:rsidR="00772BD0">
        <w:rPr>
          <w:rFonts w:cs="Arial"/>
          <w:bCs/>
        </w:rPr>
        <w:t xml:space="preserve">have </w:t>
      </w:r>
      <w:r w:rsidR="007562F3">
        <w:rPr>
          <w:rFonts w:cs="Arial"/>
          <w:bCs/>
        </w:rPr>
        <w:t>resulted in</w:t>
      </w:r>
      <w:r w:rsidR="00F00238">
        <w:rPr>
          <w:rFonts w:cs="Arial"/>
          <w:bCs/>
        </w:rPr>
        <w:t xml:space="preserve"> </w:t>
      </w:r>
      <w:r w:rsidR="00B847BA">
        <w:rPr>
          <w:rFonts w:cs="Arial"/>
          <w:bCs/>
        </w:rPr>
        <w:t>Hamed</w:t>
      </w:r>
      <w:r w:rsidR="007562F3">
        <w:rPr>
          <w:rFonts w:cs="Arial"/>
          <w:bCs/>
        </w:rPr>
        <w:t xml:space="preserve"> </w:t>
      </w:r>
      <w:r w:rsidR="00606D06">
        <w:rPr>
          <w:rFonts w:cs="Arial"/>
          <w:bCs/>
        </w:rPr>
        <w:t xml:space="preserve">ascertaining </w:t>
      </w:r>
      <w:r w:rsidR="007562F3">
        <w:rPr>
          <w:rFonts w:cs="Arial"/>
          <w:bCs/>
        </w:rPr>
        <w:t xml:space="preserve">significant proof </w:t>
      </w:r>
      <w:r w:rsidR="00B847BA">
        <w:rPr>
          <w:rFonts w:cs="Arial"/>
          <w:bCs/>
        </w:rPr>
        <w:t>that</w:t>
      </w:r>
      <w:r w:rsidR="00F00238" w:rsidRPr="00F00238">
        <w:rPr>
          <w:rFonts w:cs="Arial"/>
          <w:bCs/>
        </w:rPr>
        <w:t xml:space="preserve"> she </w:t>
      </w:r>
      <w:r w:rsidR="00B847BA">
        <w:rPr>
          <w:rFonts w:cs="Arial"/>
          <w:bCs/>
        </w:rPr>
        <w:t>has been</w:t>
      </w:r>
      <w:r w:rsidR="00F00238" w:rsidRPr="00F00238">
        <w:rPr>
          <w:rFonts w:cs="Arial"/>
          <w:bCs/>
        </w:rPr>
        <w:t xml:space="preserve"> an active, fully participatory co-</w:t>
      </w:r>
      <w:r w:rsidR="007562F3">
        <w:rPr>
          <w:rFonts w:cs="Arial"/>
          <w:bCs/>
        </w:rPr>
        <w:t>co</w:t>
      </w:r>
      <w:r w:rsidR="00F00238" w:rsidRPr="00F00238">
        <w:rPr>
          <w:rFonts w:cs="Arial"/>
          <w:bCs/>
        </w:rPr>
        <w:t xml:space="preserve">nspirator in the </w:t>
      </w:r>
      <w:r w:rsidR="00772BD0">
        <w:rPr>
          <w:rFonts w:cs="Arial"/>
          <w:bCs/>
        </w:rPr>
        <w:t xml:space="preserve">alleged </w:t>
      </w:r>
      <w:r w:rsidR="00F00238" w:rsidRPr="00F00238">
        <w:rPr>
          <w:rFonts w:cs="Arial"/>
          <w:bCs/>
        </w:rPr>
        <w:t xml:space="preserve">CICO conspiracy. </w:t>
      </w:r>
    </w:p>
    <w:p w14:paraId="136B9F7D" w14:textId="36E2DD3C" w:rsidR="007562F3" w:rsidRDefault="007562F3" w:rsidP="00F00238">
      <w:pPr>
        <w:spacing w:line="480" w:lineRule="auto"/>
        <w:ind w:firstLine="720"/>
        <w:jc w:val="both"/>
        <w:outlineLvl w:val="0"/>
        <w:rPr>
          <w:rFonts w:cs="Arial"/>
          <w:bCs/>
        </w:rPr>
      </w:pPr>
      <w:r>
        <w:rPr>
          <w:color w:val="000000"/>
        </w:rPr>
        <w:t>While Rule 15(a) of the Virgin Islands Rules of Civil Procedure</w:t>
      </w:r>
      <w:r w:rsidR="006B0DD3">
        <w:rPr>
          <w:color w:val="000000"/>
        </w:rPr>
        <w:t xml:space="preserve"> provides</w:t>
      </w:r>
      <w:r>
        <w:rPr>
          <w:color w:val="000000"/>
        </w:rPr>
        <w:t xml:space="preserve"> that </w:t>
      </w:r>
      <w:r w:rsidR="006B0DD3">
        <w:rPr>
          <w:color w:val="000000"/>
        </w:rPr>
        <w:t>t</w:t>
      </w:r>
      <w:r>
        <w:rPr>
          <w:color w:val="000000"/>
        </w:rPr>
        <w:t xml:space="preserve">he </w:t>
      </w:r>
      <w:r w:rsidR="006B0DD3">
        <w:rPr>
          <w:color w:val="000000"/>
        </w:rPr>
        <w:t>C</w:t>
      </w:r>
      <w:r>
        <w:rPr>
          <w:color w:val="000000"/>
        </w:rPr>
        <w:t xml:space="preserve">ourt should freely give leave </w:t>
      </w:r>
      <w:r w:rsidR="00823F7E">
        <w:rPr>
          <w:color w:val="000000"/>
        </w:rPr>
        <w:t xml:space="preserve">to amend </w:t>
      </w:r>
      <w:r>
        <w:rPr>
          <w:color w:val="000000"/>
        </w:rPr>
        <w:t>when justice so requires</w:t>
      </w:r>
      <w:r w:rsidR="006B0DD3">
        <w:rPr>
          <w:color w:val="000000"/>
        </w:rPr>
        <w:t>, a</w:t>
      </w:r>
      <w:r>
        <w:rPr>
          <w:color w:val="000000"/>
        </w:rPr>
        <w:t>ppropriate justifications for deviating from th</w:t>
      </w:r>
      <w:r w:rsidR="00606D06">
        <w:rPr>
          <w:color w:val="000000"/>
        </w:rPr>
        <w:t>at</w:t>
      </w:r>
      <w:r>
        <w:rPr>
          <w:color w:val="000000"/>
        </w:rPr>
        <w:t xml:space="preserve"> norm</w:t>
      </w:r>
      <w:r w:rsidR="00606D06">
        <w:rPr>
          <w:color w:val="000000"/>
        </w:rPr>
        <w:t xml:space="preserve"> </w:t>
      </w:r>
      <w:r>
        <w:rPr>
          <w:color w:val="000000"/>
        </w:rPr>
        <w:t xml:space="preserve">include undue delay, bad faith or dilatory motive on the part of the movant, repeated failure to cure deficiencies by amendments previously allowed, undue prejudice to the opposing party by virtue of allowance of the amendment, </w:t>
      </w:r>
      <w:r w:rsidR="00606D06">
        <w:rPr>
          <w:color w:val="000000"/>
        </w:rPr>
        <w:t xml:space="preserve">and </w:t>
      </w:r>
      <w:r>
        <w:rPr>
          <w:color w:val="000000"/>
        </w:rPr>
        <w:t>futility of the amendment</w:t>
      </w:r>
      <w:r w:rsidR="00823F7E">
        <w:rPr>
          <w:color w:val="000000"/>
        </w:rPr>
        <w:t>.</w:t>
      </w:r>
      <w:r>
        <w:rPr>
          <w:color w:val="000000"/>
        </w:rPr>
        <w:t> </w:t>
      </w:r>
      <w:r w:rsidRPr="007562F3">
        <w:rPr>
          <w:i/>
          <w:iCs/>
          <w:bdr w:val="none" w:sz="0" w:space="0" w:color="auto" w:frame="1"/>
        </w:rPr>
        <w:t>Davis v. UHP Projects, Inc.</w:t>
      </w:r>
      <w:r w:rsidRPr="007562F3">
        <w:rPr>
          <w:bdr w:val="none" w:sz="0" w:space="0" w:color="auto" w:frame="1"/>
        </w:rPr>
        <w:t>, 74 V.I. 525, 536-37 (2021)</w:t>
      </w:r>
      <w:r>
        <w:rPr>
          <w:bdr w:val="none" w:sz="0" w:space="0" w:color="auto" w:frame="1"/>
        </w:rPr>
        <w:t xml:space="preserve"> </w:t>
      </w:r>
      <w:r w:rsidRPr="007562F3">
        <w:rPr>
          <w:i/>
          <w:iCs/>
          <w:bdr w:val="none" w:sz="0" w:space="0" w:color="auto" w:frame="1"/>
        </w:rPr>
        <w:t>citing</w:t>
      </w:r>
      <w:r>
        <w:rPr>
          <w:bdr w:val="none" w:sz="0" w:space="0" w:color="auto" w:frame="1"/>
        </w:rPr>
        <w:t xml:space="preserve"> </w:t>
      </w:r>
      <w:r>
        <w:rPr>
          <w:rStyle w:val="ssit"/>
          <w:i/>
          <w:iCs/>
          <w:color w:val="000000"/>
          <w:bdr w:val="none" w:sz="0" w:space="0" w:color="auto" w:frame="1"/>
        </w:rPr>
        <w:t>Basic Services, Inc. v. Gov't of the V.I.</w:t>
      </w:r>
      <w:r>
        <w:rPr>
          <w:color w:val="000000"/>
        </w:rPr>
        <w:t>, 71 V.I. 652, 667 (V.I. 2019) (</w:t>
      </w:r>
      <w:r w:rsidRPr="00344E94">
        <w:rPr>
          <w:i/>
          <w:iCs/>
          <w:color w:val="000000"/>
        </w:rPr>
        <w:t>quoting</w:t>
      </w:r>
      <w:r>
        <w:rPr>
          <w:color w:val="000000"/>
        </w:rPr>
        <w:t> </w:t>
      </w:r>
      <w:r>
        <w:rPr>
          <w:rStyle w:val="ssit"/>
          <w:i/>
          <w:iCs/>
          <w:color w:val="000000"/>
          <w:bdr w:val="none" w:sz="0" w:space="0" w:color="auto" w:frame="1"/>
        </w:rPr>
        <w:t>Reynolds v. Rohn</w:t>
      </w:r>
      <w:r>
        <w:rPr>
          <w:color w:val="000000"/>
        </w:rPr>
        <w:t>, 70 V.I. 887, 899-900, 2019 VI 8 (V.I. 2019)).</w:t>
      </w:r>
      <w:r w:rsidR="008365C3">
        <w:rPr>
          <w:color w:val="000000"/>
        </w:rPr>
        <w:t xml:space="preserve"> </w:t>
      </w:r>
      <w:r>
        <w:rPr>
          <w:rFonts w:cs="Arial"/>
          <w:bCs/>
        </w:rPr>
        <w:t>Thus, Hamed will address each of these factors</w:t>
      </w:r>
      <w:r w:rsidR="008365C3">
        <w:rPr>
          <w:rFonts w:cs="Arial"/>
          <w:bCs/>
        </w:rPr>
        <w:t>.</w:t>
      </w:r>
    </w:p>
    <w:p w14:paraId="1CAEA420" w14:textId="057217AA" w:rsidR="002F2380" w:rsidRDefault="00035F18" w:rsidP="00F00238">
      <w:pPr>
        <w:spacing w:line="480" w:lineRule="auto"/>
        <w:ind w:firstLine="720"/>
        <w:jc w:val="both"/>
        <w:outlineLvl w:val="0"/>
        <w:rPr>
          <w:rFonts w:cs="Arial"/>
          <w:bCs/>
        </w:rPr>
      </w:pPr>
      <w:r>
        <w:rPr>
          <w:rFonts w:cs="Arial"/>
          <w:bCs/>
        </w:rPr>
        <w:t xml:space="preserve">Before proceeding, Hamed </w:t>
      </w:r>
      <w:r w:rsidR="006B0DD3">
        <w:rPr>
          <w:rFonts w:cs="Arial"/>
          <w:bCs/>
        </w:rPr>
        <w:t xml:space="preserve">again </w:t>
      </w:r>
      <w:r>
        <w:rPr>
          <w:rFonts w:cs="Arial"/>
          <w:bCs/>
        </w:rPr>
        <w:t>notes that n</w:t>
      </w:r>
      <w:r w:rsidR="00F00238" w:rsidRPr="00F00238">
        <w:rPr>
          <w:rFonts w:cs="Arial"/>
          <w:bCs/>
        </w:rPr>
        <w:t>one of the primary defendants have yet answered</w:t>
      </w:r>
      <w:r w:rsidR="006B0DD3">
        <w:rPr>
          <w:rFonts w:cs="Arial"/>
          <w:bCs/>
        </w:rPr>
        <w:t xml:space="preserve">. </w:t>
      </w:r>
      <w:r w:rsidR="00FF64CD">
        <w:rPr>
          <w:rFonts w:cs="Arial"/>
          <w:bCs/>
        </w:rPr>
        <w:t>This is restated because t</w:t>
      </w:r>
      <w:r w:rsidR="00606D06">
        <w:rPr>
          <w:rFonts w:cs="Arial"/>
          <w:bCs/>
        </w:rPr>
        <w:t>he reason for</w:t>
      </w:r>
      <w:r w:rsidR="00FF64CD">
        <w:rPr>
          <w:rFonts w:cs="Arial"/>
          <w:bCs/>
        </w:rPr>
        <w:t xml:space="preserve"> their non-filing</w:t>
      </w:r>
      <w:r w:rsidR="00606D06">
        <w:rPr>
          <w:rFonts w:cs="Arial"/>
          <w:bCs/>
        </w:rPr>
        <w:t xml:space="preserve"> is </w:t>
      </w:r>
      <w:r w:rsidR="00344E94">
        <w:rPr>
          <w:rFonts w:cs="Arial"/>
          <w:bCs/>
        </w:rPr>
        <w:t xml:space="preserve">very </w:t>
      </w:r>
      <w:r w:rsidR="00606D06">
        <w:rPr>
          <w:rFonts w:cs="Arial"/>
          <w:bCs/>
        </w:rPr>
        <w:t>important. It</w:t>
      </w:r>
      <w:r w:rsidR="006B0DD3">
        <w:rPr>
          <w:rFonts w:cs="Arial"/>
          <w:bCs/>
        </w:rPr>
        <w:t xml:space="preserve"> is because </w:t>
      </w:r>
      <w:r w:rsidR="00F00238" w:rsidRPr="00823F7E">
        <w:rPr>
          <w:rFonts w:cs="Arial"/>
          <w:bCs/>
        </w:rPr>
        <w:t xml:space="preserve">they have </w:t>
      </w:r>
      <w:r w:rsidR="00305E10" w:rsidRPr="00823F7E">
        <w:rPr>
          <w:rFonts w:cs="Arial"/>
          <w:bCs/>
        </w:rPr>
        <w:t xml:space="preserve">all </w:t>
      </w:r>
      <w:r w:rsidR="00FF64CD">
        <w:rPr>
          <w:rFonts w:cs="Arial"/>
          <w:bCs/>
        </w:rPr>
        <w:t>submitted</w:t>
      </w:r>
      <w:r w:rsidR="00F00238" w:rsidRPr="00823F7E">
        <w:rPr>
          <w:rFonts w:cs="Arial"/>
          <w:bCs/>
        </w:rPr>
        <w:t xml:space="preserve"> motions </w:t>
      </w:r>
      <w:r w:rsidR="00305E10" w:rsidRPr="00823F7E">
        <w:rPr>
          <w:rFonts w:cs="Arial"/>
          <w:bCs/>
        </w:rPr>
        <w:t xml:space="preserve">to dismiss </w:t>
      </w:r>
      <w:r w:rsidR="00F00238" w:rsidRPr="00823F7E">
        <w:rPr>
          <w:rFonts w:cs="Arial"/>
          <w:bCs/>
        </w:rPr>
        <w:t xml:space="preserve">predicated on the </w:t>
      </w:r>
      <w:r w:rsidR="00823F7E" w:rsidRPr="00823F7E">
        <w:rPr>
          <w:rFonts w:cs="Arial"/>
          <w:bCs/>
        </w:rPr>
        <w:t>absolute</w:t>
      </w:r>
      <w:r w:rsidR="00823F7E">
        <w:rPr>
          <w:rFonts w:cs="Arial"/>
          <w:bCs/>
          <w:i/>
          <w:iCs/>
        </w:rPr>
        <w:t xml:space="preserve"> </w:t>
      </w:r>
      <w:r w:rsidR="00F00238" w:rsidRPr="00F00238">
        <w:rPr>
          <w:rFonts w:cs="Arial"/>
          <w:bCs/>
          <w:i/>
          <w:iCs/>
        </w:rPr>
        <w:t xml:space="preserve">need to have Manal </w:t>
      </w:r>
      <w:r w:rsidR="00B847BA">
        <w:rPr>
          <w:rFonts w:cs="Arial"/>
          <w:bCs/>
          <w:i/>
          <w:iCs/>
        </w:rPr>
        <w:t xml:space="preserve">joined </w:t>
      </w:r>
      <w:r w:rsidR="00F00238" w:rsidRPr="00F00238">
        <w:rPr>
          <w:rFonts w:cs="Arial"/>
          <w:bCs/>
          <w:i/>
          <w:iCs/>
        </w:rPr>
        <w:t>as a party</w:t>
      </w:r>
      <w:r w:rsidR="00B847BA">
        <w:rPr>
          <w:rFonts w:cs="Arial"/>
          <w:bCs/>
          <w:i/>
          <w:iCs/>
        </w:rPr>
        <w:t xml:space="preserve"> here</w:t>
      </w:r>
      <w:r w:rsidR="002F2380">
        <w:rPr>
          <w:rFonts w:cs="Arial"/>
          <w:bCs/>
          <w:i/>
          <w:iCs/>
        </w:rPr>
        <w:t xml:space="preserve">, </w:t>
      </w:r>
      <w:r w:rsidR="002F2380" w:rsidRPr="002F2380">
        <w:rPr>
          <w:rFonts w:cs="Arial"/>
          <w:bCs/>
        </w:rPr>
        <w:t>described below</w:t>
      </w:r>
      <w:r w:rsidR="00B847BA">
        <w:rPr>
          <w:rFonts w:cs="Arial"/>
          <w:bCs/>
        </w:rPr>
        <w:t xml:space="preserve">. </w:t>
      </w:r>
      <w:r w:rsidR="00344E94">
        <w:rPr>
          <w:rFonts w:cs="Arial"/>
          <w:bCs/>
        </w:rPr>
        <w:t xml:space="preserve">Thus, Hamed expects no oppositions will be filed. </w:t>
      </w:r>
      <w:r w:rsidR="00B847BA">
        <w:rPr>
          <w:rFonts w:cs="Arial"/>
          <w:bCs/>
        </w:rPr>
        <w:t>Moreover,</w:t>
      </w:r>
      <w:r w:rsidR="00F00238" w:rsidRPr="00F00238">
        <w:rPr>
          <w:rFonts w:cs="Arial"/>
          <w:bCs/>
        </w:rPr>
        <w:t xml:space="preserve"> </w:t>
      </w:r>
      <w:r w:rsidR="00606D06">
        <w:rPr>
          <w:rFonts w:cs="Arial"/>
          <w:bCs/>
        </w:rPr>
        <w:t>the time for depositions</w:t>
      </w:r>
      <w:r w:rsidR="00F00238" w:rsidRPr="00F00238">
        <w:rPr>
          <w:rFonts w:cs="Arial"/>
          <w:bCs/>
        </w:rPr>
        <w:t xml:space="preserve"> has </w:t>
      </w:r>
      <w:r w:rsidR="00305E10">
        <w:rPr>
          <w:rFonts w:cs="Arial"/>
          <w:bCs/>
        </w:rPr>
        <w:t xml:space="preserve">just </w:t>
      </w:r>
      <w:r w:rsidR="00F00238" w:rsidRPr="00F00238">
        <w:rPr>
          <w:rFonts w:cs="Arial"/>
          <w:bCs/>
        </w:rPr>
        <w:t xml:space="preserve">been </w:t>
      </w:r>
      <w:r w:rsidR="00606D06">
        <w:rPr>
          <w:rFonts w:cs="Arial"/>
          <w:bCs/>
        </w:rPr>
        <w:t>enlarged.</w:t>
      </w:r>
      <w:r w:rsidR="00F00238">
        <w:rPr>
          <w:rStyle w:val="FootnoteReference"/>
          <w:rFonts w:cs="Arial"/>
          <w:bCs/>
        </w:rPr>
        <w:footnoteReference w:id="1"/>
      </w:r>
      <w:r>
        <w:rPr>
          <w:rFonts w:cs="Arial"/>
          <w:bCs/>
        </w:rPr>
        <w:t xml:space="preserve"> </w:t>
      </w:r>
      <w:r w:rsidR="008D0218">
        <w:rPr>
          <w:rFonts w:cs="Arial"/>
          <w:bCs/>
        </w:rPr>
        <w:t xml:space="preserve">Finally, there is a pending, fully briefed motion to consolidate this action with the two companion actions </w:t>
      </w:r>
      <w:r w:rsidR="008365C3">
        <w:rPr>
          <w:rFonts w:cs="Arial"/>
          <w:bCs/>
        </w:rPr>
        <w:t xml:space="preserve">described below. </w:t>
      </w:r>
      <w:r w:rsidR="008D0218">
        <w:rPr>
          <w:rFonts w:cs="Arial"/>
          <w:bCs/>
        </w:rPr>
        <w:t xml:space="preserve"> </w:t>
      </w:r>
    </w:p>
    <w:p w14:paraId="05027654" w14:textId="77777777" w:rsidR="002F2380" w:rsidRDefault="002F2380">
      <w:pPr>
        <w:rPr>
          <w:rFonts w:cs="Arial"/>
          <w:bCs/>
        </w:rPr>
      </w:pPr>
      <w:r>
        <w:rPr>
          <w:rFonts w:cs="Arial"/>
          <w:bCs/>
        </w:rPr>
        <w:br w:type="page"/>
      </w:r>
    </w:p>
    <w:p w14:paraId="1F2EF180" w14:textId="4A823661" w:rsidR="00035F18" w:rsidRDefault="00035F18">
      <w:pPr>
        <w:rPr>
          <w:rFonts w:cs="Arial"/>
          <w:bCs/>
        </w:rPr>
      </w:pPr>
    </w:p>
    <w:p w14:paraId="2D68F7BD" w14:textId="253BCA5D" w:rsidR="00BD1C87" w:rsidRDefault="005F69BB" w:rsidP="005F69BB">
      <w:pPr>
        <w:pStyle w:val="ListParagraph"/>
        <w:numPr>
          <w:ilvl w:val="0"/>
          <w:numId w:val="13"/>
        </w:numPr>
        <w:spacing w:after="0" w:line="480" w:lineRule="auto"/>
        <w:ind w:left="0" w:firstLine="0"/>
        <w:jc w:val="both"/>
        <w:outlineLvl w:val="0"/>
        <w:rPr>
          <w:rFonts w:ascii="Arial" w:hAnsi="Arial" w:cs="Arial"/>
          <w:b/>
          <w:sz w:val="24"/>
        </w:rPr>
      </w:pPr>
      <w:r w:rsidRPr="005F69BB">
        <w:rPr>
          <w:rFonts w:ascii="Arial" w:hAnsi="Arial" w:cs="Arial"/>
          <w:b/>
          <w:sz w:val="24"/>
        </w:rPr>
        <w:t xml:space="preserve">Procedural Posture of </w:t>
      </w:r>
      <w:r w:rsidR="00982060">
        <w:rPr>
          <w:rFonts w:ascii="Arial" w:hAnsi="Arial" w:cs="Arial"/>
          <w:b/>
          <w:sz w:val="24"/>
        </w:rPr>
        <w:t>the Three “Diamond Keturah” Actions</w:t>
      </w:r>
    </w:p>
    <w:p w14:paraId="0B57D415" w14:textId="1FCF7EE9" w:rsidR="00982060" w:rsidRDefault="00982060" w:rsidP="005F69BB">
      <w:pPr>
        <w:spacing w:line="480" w:lineRule="auto"/>
        <w:ind w:firstLine="720"/>
        <w:jc w:val="both"/>
        <w:outlineLvl w:val="0"/>
        <w:rPr>
          <w:rFonts w:cs="Arial"/>
        </w:rPr>
      </w:pPr>
      <w:r>
        <w:rPr>
          <w:rFonts w:cs="Arial"/>
        </w:rPr>
        <w:t>A number of cases</w:t>
      </w:r>
      <w:r w:rsidR="005F69BB">
        <w:rPr>
          <w:rFonts w:cs="Arial"/>
        </w:rPr>
        <w:t xml:space="preserve"> </w:t>
      </w:r>
      <w:r>
        <w:rPr>
          <w:rFonts w:cs="Arial"/>
        </w:rPr>
        <w:t>have been</w:t>
      </w:r>
      <w:r w:rsidR="005F69BB">
        <w:rPr>
          <w:rFonts w:cs="Arial"/>
        </w:rPr>
        <w:t xml:space="preserve"> filed regarding the note and mortgage </w:t>
      </w:r>
      <w:r>
        <w:rPr>
          <w:rFonts w:cs="Arial"/>
        </w:rPr>
        <w:t xml:space="preserve">relating to the </w:t>
      </w:r>
      <w:r w:rsidR="008D0218">
        <w:rPr>
          <w:rFonts w:cs="Arial"/>
        </w:rPr>
        <w:t xml:space="preserve">1997 </w:t>
      </w:r>
      <w:r>
        <w:rPr>
          <w:rFonts w:cs="Arial"/>
        </w:rPr>
        <w:t>purchase of the “</w:t>
      </w:r>
      <w:r w:rsidR="00E63CC0">
        <w:rPr>
          <w:rFonts w:cs="Arial"/>
        </w:rPr>
        <w:t>D</w:t>
      </w:r>
      <w:r>
        <w:rPr>
          <w:rFonts w:cs="Arial"/>
        </w:rPr>
        <w:t xml:space="preserve">iamond Keturah” property by Sixteen Plus—and the present efforts of members of Fathi Yusuf’s family to wrest that property from Sixteen Plus and the Hameds. Three of </w:t>
      </w:r>
      <w:r w:rsidR="00B847BA">
        <w:rPr>
          <w:rFonts w:cs="Arial"/>
        </w:rPr>
        <w:t xml:space="preserve">those actions </w:t>
      </w:r>
      <w:r>
        <w:rPr>
          <w:rFonts w:cs="Arial"/>
        </w:rPr>
        <w:t>remain</w:t>
      </w:r>
      <w:r w:rsidR="00823F7E">
        <w:rPr>
          <w:rFonts w:cs="Arial"/>
        </w:rPr>
        <w:t xml:space="preserve"> active</w:t>
      </w:r>
      <w:r>
        <w:rPr>
          <w:rStyle w:val="FootnoteReference"/>
          <w:rFonts w:cs="Arial"/>
        </w:rPr>
        <w:footnoteReference w:id="2"/>
      </w:r>
      <w:r w:rsidR="008D0218">
        <w:rPr>
          <w:rFonts w:cs="Arial"/>
        </w:rPr>
        <w:t xml:space="preserve"> and are relevant.</w:t>
      </w:r>
    </w:p>
    <w:p w14:paraId="37DE09C4" w14:textId="035EC880" w:rsidR="005F69BB" w:rsidRDefault="005F69BB" w:rsidP="005F69BB">
      <w:pPr>
        <w:spacing w:line="480" w:lineRule="auto"/>
        <w:ind w:firstLine="720"/>
        <w:jc w:val="both"/>
        <w:outlineLvl w:val="0"/>
        <w:rPr>
          <w:rFonts w:cs="Arial"/>
        </w:rPr>
      </w:pPr>
      <w:r w:rsidRPr="00E274AC">
        <w:rPr>
          <w:rFonts w:cs="Arial"/>
        </w:rPr>
        <w:t xml:space="preserve">First, </w:t>
      </w:r>
      <w:r w:rsidR="000E3665">
        <w:rPr>
          <w:rFonts w:cs="Arial"/>
        </w:rPr>
        <w:t xml:space="preserve">on February 12, 2016, </w:t>
      </w:r>
      <w:r w:rsidRPr="00E274AC">
        <w:rPr>
          <w:rFonts w:cs="Arial"/>
        </w:rPr>
        <w:t xml:space="preserve">Sixteen Plus </w:t>
      </w:r>
      <w:r w:rsidR="000E3665">
        <w:rPr>
          <w:rFonts w:cs="Arial"/>
        </w:rPr>
        <w:t xml:space="preserve">Corporation </w:t>
      </w:r>
      <w:r>
        <w:rPr>
          <w:rFonts w:cs="Arial"/>
        </w:rPr>
        <w:t xml:space="preserve">filed </w:t>
      </w:r>
      <w:r w:rsidR="00812207">
        <w:rPr>
          <w:rFonts w:cs="Arial"/>
        </w:rPr>
        <w:t>a</w:t>
      </w:r>
      <w:r>
        <w:rPr>
          <w:rFonts w:cs="Arial"/>
        </w:rPr>
        <w:t xml:space="preserve"> declaratory judgment action </w:t>
      </w:r>
      <w:r w:rsidR="000E3665">
        <w:rPr>
          <w:rFonts w:cs="Arial"/>
        </w:rPr>
        <w:t>against Manal Yousef</w:t>
      </w:r>
      <w:r w:rsidR="00812207">
        <w:rPr>
          <w:rFonts w:cs="Arial"/>
        </w:rPr>
        <w:t>,</w:t>
      </w:r>
      <w:r w:rsidR="00812207" w:rsidRPr="00812207">
        <w:rPr>
          <w:rFonts w:cs="Arial"/>
        </w:rPr>
        <w:t xml:space="preserve"> </w:t>
      </w:r>
      <w:r w:rsidR="00812207">
        <w:rPr>
          <w:rFonts w:cs="Arial"/>
        </w:rPr>
        <w:t>Fathi Yusuf’s niece</w:t>
      </w:r>
      <w:r w:rsidR="00B847BA">
        <w:rPr>
          <w:rFonts w:cs="Arial"/>
        </w:rPr>
        <w:t>.</w:t>
      </w:r>
      <w:r w:rsidR="000E3665">
        <w:rPr>
          <w:rFonts w:cs="Arial"/>
        </w:rPr>
        <w:t xml:space="preserve"> </w:t>
      </w:r>
      <w:r w:rsidR="00812207" w:rsidRPr="00E274AC">
        <w:rPr>
          <w:rFonts w:cs="Arial"/>
          <w:i/>
          <w:iCs/>
        </w:rPr>
        <w:t>Sixteen Plus v. Manal Yousef</w:t>
      </w:r>
      <w:r w:rsidR="00812207">
        <w:rPr>
          <w:rFonts w:cs="Arial"/>
        </w:rPr>
        <w:t>, SX-2016-CV-00065 (“65 action”)</w:t>
      </w:r>
      <w:r w:rsidR="000E3665">
        <w:rPr>
          <w:rFonts w:cs="Arial"/>
        </w:rPr>
        <w:t xml:space="preserve">. </w:t>
      </w:r>
      <w:r>
        <w:rPr>
          <w:rFonts w:cs="Arial"/>
        </w:rPr>
        <w:t>Though Manal was the defendant (sued for declaratory judgment as to the invalidity of the note and mortgage) she countersued</w:t>
      </w:r>
      <w:r w:rsidR="00812207">
        <w:rPr>
          <w:rFonts w:cs="Arial"/>
        </w:rPr>
        <w:t xml:space="preserve">, also for a declaratory judgment, </w:t>
      </w:r>
      <w:r>
        <w:rPr>
          <w:rFonts w:cs="Arial"/>
        </w:rPr>
        <w:t>alleging:</w:t>
      </w:r>
    </w:p>
    <w:p w14:paraId="5C2984EF" w14:textId="77777777" w:rsidR="005F69BB" w:rsidRDefault="005F69BB" w:rsidP="005F69BB">
      <w:pPr>
        <w:ind w:left="720" w:right="720"/>
        <w:jc w:val="both"/>
        <w:outlineLvl w:val="0"/>
        <w:rPr>
          <w:rFonts w:cs="Arial"/>
        </w:rPr>
      </w:pPr>
      <w:r w:rsidRPr="007B58CE">
        <w:rPr>
          <w:rFonts w:cs="Arial"/>
        </w:rPr>
        <w:t xml:space="preserve">6. The First Priority Mortgage is valid and enforceable pursuant to the terms and conditions set forth therein, and the plaintiff/counter-defendant is contractually obligated to fulfill all of the terms and conditions of the Promissory Note and First Priority Mortgage and to make the payments due in accordance to the terms and conditions to which it agreed to be legally bound and obligated. </w:t>
      </w:r>
    </w:p>
    <w:p w14:paraId="3FDDB1C5" w14:textId="77777777" w:rsidR="005F69BB" w:rsidRDefault="005F69BB" w:rsidP="005F69BB">
      <w:pPr>
        <w:ind w:left="720" w:right="720"/>
        <w:jc w:val="both"/>
        <w:outlineLvl w:val="0"/>
        <w:rPr>
          <w:rFonts w:cs="Arial"/>
        </w:rPr>
      </w:pPr>
      <w:r>
        <w:rPr>
          <w:rFonts w:cs="Arial"/>
        </w:rPr>
        <w:t xml:space="preserve">     </w:t>
      </w:r>
      <w:r w:rsidRPr="007B58CE">
        <w:rPr>
          <w:rFonts w:cs="Arial"/>
        </w:rPr>
        <w:t>WHEREFORE, the defendant/counter-claimant respectfully requests this Court enter an order declaring the Promissory Note and First Priority Mortgage executed by the plaintiff/counter-defendant valid and fully enforceable, together with interest due and owing and further awarding the defendant/counter-claimant her costs including an award of attorney's fees, for being required to defend the Complaint and to bring this counterclaim.</w:t>
      </w:r>
    </w:p>
    <w:p w14:paraId="36F9B074" w14:textId="006CF41E" w:rsidR="002F2380" w:rsidRDefault="002F2380">
      <w:pPr>
        <w:rPr>
          <w:rFonts w:cs="Arial"/>
        </w:rPr>
      </w:pPr>
      <w:r>
        <w:rPr>
          <w:rFonts w:cs="Arial"/>
        </w:rPr>
        <w:br w:type="page"/>
      </w:r>
    </w:p>
    <w:p w14:paraId="23F31C79" w14:textId="5C910FE4" w:rsidR="005F69BB" w:rsidRDefault="00C64461" w:rsidP="00C64461">
      <w:pPr>
        <w:spacing w:line="480" w:lineRule="auto"/>
        <w:ind w:firstLine="720"/>
        <w:jc w:val="both"/>
        <w:outlineLvl w:val="0"/>
        <w:rPr>
          <w:rFonts w:cs="Arial"/>
        </w:rPr>
      </w:pPr>
      <w:r>
        <w:rPr>
          <w:rFonts w:cs="Arial"/>
        </w:rPr>
        <w:lastRenderedPageBreak/>
        <w:t xml:space="preserve">On June 7, 2017, </w:t>
      </w:r>
      <w:r w:rsidR="005F69BB">
        <w:rPr>
          <w:rFonts w:cs="Arial"/>
        </w:rPr>
        <w:t xml:space="preserve">Sixteen Plus answered </w:t>
      </w:r>
      <w:r w:rsidR="004B3ACD">
        <w:rPr>
          <w:rFonts w:cs="Arial"/>
        </w:rPr>
        <w:t>Manal’s</w:t>
      </w:r>
      <w:r>
        <w:rPr>
          <w:rFonts w:cs="Arial"/>
        </w:rPr>
        <w:t xml:space="preserve"> amended</w:t>
      </w:r>
      <w:r w:rsidR="005F69BB">
        <w:rPr>
          <w:rFonts w:cs="Arial"/>
        </w:rPr>
        <w:t xml:space="preserve"> counterclaim, asserting several affirmative defenses including</w:t>
      </w:r>
      <w:r w:rsidR="00171EF8">
        <w:rPr>
          <w:rFonts w:cs="Arial"/>
        </w:rPr>
        <w:t>, at 2, f</w:t>
      </w:r>
      <w:r w:rsidR="000E3665">
        <w:rPr>
          <w:rFonts w:cs="Arial"/>
        </w:rPr>
        <w:t>ailure of consideration and “</w:t>
      </w:r>
      <w:r w:rsidR="005F69BB" w:rsidRPr="006F038F">
        <w:rPr>
          <w:rFonts w:cs="Arial"/>
          <w:i/>
          <w:iCs/>
        </w:rPr>
        <w:t>in pari delicto</w:t>
      </w:r>
      <w:r w:rsidR="000E3665">
        <w:rPr>
          <w:rFonts w:cs="Arial"/>
          <w:i/>
          <w:iCs/>
        </w:rPr>
        <w:t>”</w:t>
      </w:r>
      <w:r w:rsidR="005F69BB">
        <w:rPr>
          <w:rFonts w:cs="Arial"/>
        </w:rPr>
        <w:t>:</w:t>
      </w:r>
    </w:p>
    <w:p w14:paraId="3566346B" w14:textId="6AAF1ECD" w:rsidR="00FA27BF" w:rsidRPr="00FA27BF" w:rsidRDefault="00FA27BF" w:rsidP="00FA27BF">
      <w:pPr>
        <w:pStyle w:val="ListParagraph"/>
        <w:spacing w:after="0" w:line="240" w:lineRule="auto"/>
        <w:ind w:right="720"/>
        <w:jc w:val="both"/>
        <w:outlineLvl w:val="0"/>
        <w:rPr>
          <w:rFonts w:ascii="Arial" w:hAnsi="Arial" w:cs="Arial"/>
          <w:sz w:val="24"/>
        </w:rPr>
      </w:pPr>
      <w:r>
        <w:rPr>
          <w:rFonts w:ascii="Arial" w:hAnsi="Arial" w:cs="Arial"/>
          <w:sz w:val="24"/>
        </w:rPr>
        <w:t xml:space="preserve">1. </w:t>
      </w:r>
      <w:r w:rsidRPr="00FA27BF">
        <w:rPr>
          <w:rFonts w:ascii="Arial" w:hAnsi="Arial" w:cs="Arial"/>
          <w:sz w:val="24"/>
        </w:rPr>
        <w:t>The sham note and mortgage referred to in the Amended Counterclaim are unenforceable because there was no consideration paid or otherwise given by Defendant in exchange for the sham note and/or mortgage.</w:t>
      </w:r>
    </w:p>
    <w:p w14:paraId="05A4BB22" w14:textId="64C1DA07" w:rsidR="00FA27BF" w:rsidRPr="00FA27BF" w:rsidRDefault="00FA27BF" w:rsidP="00FA27BF">
      <w:pPr>
        <w:ind w:left="3600" w:firstLine="720"/>
        <w:jc w:val="both"/>
        <w:outlineLvl w:val="0"/>
        <w:rPr>
          <w:rFonts w:cs="Arial"/>
        </w:rPr>
      </w:pPr>
      <w:r w:rsidRPr="00FA27BF">
        <w:rPr>
          <w:rFonts w:cs="Arial"/>
        </w:rPr>
        <w:t>* * * *</w:t>
      </w:r>
    </w:p>
    <w:p w14:paraId="409808A0" w14:textId="376A3C39" w:rsidR="005F69BB" w:rsidRDefault="005F69BB" w:rsidP="005F69BB">
      <w:pPr>
        <w:ind w:left="720" w:right="720"/>
        <w:jc w:val="both"/>
        <w:outlineLvl w:val="0"/>
        <w:rPr>
          <w:rFonts w:cs="Arial"/>
        </w:rPr>
      </w:pPr>
      <w:r w:rsidRPr="006F038F">
        <w:rPr>
          <w:rFonts w:cs="Arial"/>
        </w:rPr>
        <w:t xml:space="preserve">7. Defendant is barred from the relief sought in the Amended Counterclaim because the sham note and mortgage referred to in the Amended Counterclaim are </w:t>
      </w:r>
      <w:r w:rsidRPr="00171EF8">
        <w:rPr>
          <w:rFonts w:cs="Arial"/>
        </w:rPr>
        <w:t xml:space="preserve">unenforceable because the sham note and mortgage were procured </w:t>
      </w:r>
      <w:r w:rsidRPr="00E274AC">
        <w:rPr>
          <w:rFonts w:cs="Arial"/>
          <w:i/>
          <w:iCs/>
        </w:rPr>
        <w:t>as part of and in furtherance of a fraudulent criminal conspiracy in which Defendant was an active participant</w:t>
      </w:r>
      <w:r w:rsidRPr="006F038F">
        <w:rPr>
          <w:rFonts w:cs="Arial"/>
        </w:rPr>
        <w:t>.</w:t>
      </w:r>
      <w:r>
        <w:rPr>
          <w:rFonts w:cs="Arial"/>
        </w:rPr>
        <w:t xml:space="preserve"> (Emphasis added.)</w:t>
      </w:r>
    </w:p>
    <w:p w14:paraId="238FC495" w14:textId="77777777" w:rsidR="005F69BB" w:rsidRPr="006F038F" w:rsidRDefault="005F69BB" w:rsidP="005F69BB">
      <w:pPr>
        <w:ind w:left="720" w:right="720"/>
        <w:jc w:val="both"/>
        <w:outlineLvl w:val="0"/>
        <w:rPr>
          <w:rFonts w:cs="Arial"/>
        </w:rPr>
      </w:pPr>
    </w:p>
    <w:p w14:paraId="55CDC226" w14:textId="3118DD6F" w:rsidR="000E3665" w:rsidRDefault="005F69BB" w:rsidP="005F69BB">
      <w:pPr>
        <w:spacing w:line="480" w:lineRule="auto"/>
        <w:jc w:val="both"/>
        <w:outlineLvl w:val="0"/>
        <w:rPr>
          <w:rFonts w:cs="Arial"/>
        </w:rPr>
      </w:pPr>
      <w:r>
        <w:rPr>
          <w:rFonts w:cs="Arial"/>
        </w:rPr>
        <w:tab/>
      </w:r>
      <w:r w:rsidR="000E3665">
        <w:rPr>
          <w:rFonts w:cs="Arial"/>
        </w:rPr>
        <w:t xml:space="preserve">Second, </w:t>
      </w:r>
      <w:r w:rsidR="00754200">
        <w:rPr>
          <w:rFonts w:cs="Arial"/>
        </w:rPr>
        <w:t xml:space="preserve">on October 31, 2016, </w:t>
      </w:r>
      <w:r w:rsidR="000E3665">
        <w:rPr>
          <w:rFonts w:cs="Arial"/>
        </w:rPr>
        <w:t xml:space="preserve">Hisham Hamed filed </w:t>
      </w:r>
      <w:r w:rsidR="00982060">
        <w:rPr>
          <w:rFonts w:cs="Arial"/>
        </w:rPr>
        <w:t xml:space="preserve">the instant </w:t>
      </w:r>
      <w:r w:rsidR="000E3665">
        <w:rPr>
          <w:rFonts w:cs="Arial"/>
        </w:rPr>
        <w:t>action individually and derivatively, on behal</w:t>
      </w:r>
      <w:r w:rsidR="00754200">
        <w:rPr>
          <w:rFonts w:cs="Arial"/>
        </w:rPr>
        <w:t>f</w:t>
      </w:r>
      <w:r w:rsidR="000E3665">
        <w:rPr>
          <w:rFonts w:cs="Arial"/>
        </w:rPr>
        <w:t xml:space="preserve"> of Sixteen Plus Corporation, against Fathi Yusuf, his nephe</w:t>
      </w:r>
      <w:r w:rsidR="00754200">
        <w:rPr>
          <w:rFonts w:cs="Arial"/>
        </w:rPr>
        <w:t>w</w:t>
      </w:r>
      <w:r w:rsidR="002F2380">
        <w:rPr>
          <w:rFonts w:cs="Arial"/>
        </w:rPr>
        <w:t xml:space="preserve"> (I</w:t>
      </w:r>
      <w:r w:rsidR="00754200">
        <w:rPr>
          <w:rFonts w:cs="Arial"/>
        </w:rPr>
        <w:t>sam</w:t>
      </w:r>
      <w:r w:rsidR="002F2380">
        <w:rPr>
          <w:rFonts w:cs="Arial"/>
        </w:rPr>
        <w:t>)</w:t>
      </w:r>
      <w:r w:rsidR="00754200">
        <w:rPr>
          <w:rFonts w:cs="Arial"/>
        </w:rPr>
        <w:t xml:space="preserve"> and Isam’s son</w:t>
      </w:r>
      <w:r w:rsidR="002F2380">
        <w:rPr>
          <w:rFonts w:cs="Arial"/>
        </w:rPr>
        <w:t xml:space="preserve"> (</w:t>
      </w:r>
      <w:r w:rsidR="00754200">
        <w:rPr>
          <w:rFonts w:cs="Arial"/>
        </w:rPr>
        <w:t>Jamil</w:t>
      </w:r>
      <w:r w:rsidR="002F2380">
        <w:rPr>
          <w:rFonts w:cs="Arial"/>
        </w:rPr>
        <w:t>)</w:t>
      </w:r>
      <w:r w:rsidR="005D31E5">
        <w:rPr>
          <w:rFonts w:cs="Arial"/>
        </w:rPr>
        <w:t>—as well as nominal defendant Sixteen Plus</w:t>
      </w:r>
      <w:r w:rsidR="00754200">
        <w:rPr>
          <w:rFonts w:cs="Arial"/>
        </w:rPr>
        <w:t xml:space="preserve">.  </w:t>
      </w:r>
      <w:r w:rsidR="005D31E5" w:rsidRPr="00F005BB">
        <w:rPr>
          <w:rFonts w:cs="Arial"/>
          <w:i/>
          <w:iCs/>
        </w:rPr>
        <w:t>His</w:t>
      </w:r>
      <w:r w:rsidR="00F005BB" w:rsidRPr="00F005BB">
        <w:rPr>
          <w:rFonts w:cs="Arial"/>
          <w:i/>
          <w:iCs/>
        </w:rPr>
        <w:t>ha</w:t>
      </w:r>
      <w:r w:rsidR="005D31E5" w:rsidRPr="00F005BB">
        <w:rPr>
          <w:rFonts w:cs="Arial"/>
          <w:i/>
          <w:iCs/>
        </w:rPr>
        <w:t>m Hamed v. Fathi Yusuf et al</w:t>
      </w:r>
      <w:r w:rsidR="005D31E5">
        <w:rPr>
          <w:rFonts w:cs="Arial"/>
        </w:rPr>
        <w:t xml:space="preserve">., SX-2016-CV-00650 (“650 Action”). </w:t>
      </w:r>
      <w:r w:rsidR="002F2380">
        <w:rPr>
          <w:rFonts w:cs="Arial"/>
        </w:rPr>
        <w:t>Hamed</w:t>
      </w:r>
      <w:r w:rsidR="00754200">
        <w:rPr>
          <w:rFonts w:cs="Arial"/>
        </w:rPr>
        <w:t xml:space="preserve"> alleged that Fathi and his family members were engaged in a CICO conspiracy to use the sham note and mortgage to fraudulently obtain </w:t>
      </w:r>
      <w:r w:rsidR="005D31E5">
        <w:rPr>
          <w:rFonts w:cs="Arial"/>
        </w:rPr>
        <w:t>half of the Diamond Keturah property belonging to Sixteen Plus</w:t>
      </w:r>
      <w:r w:rsidR="004D28C0">
        <w:rPr>
          <w:rFonts w:cs="Arial"/>
        </w:rPr>
        <w:t>—in derogation of Fathi’s fiduciary duties to Sixteen Plus and its shareholders</w:t>
      </w:r>
      <w:r w:rsidR="004D28C0" w:rsidRPr="004D28C0">
        <w:rPr>
          <w:rFonts w:cs="Arial"/>
        </w:rPr>
        <w:t xml:space="preserve"> </w:t>
      </w:r>
      <w:r w:rsidR="004D28C0">
        <w:rPr>
          <w:rFonts w:cs="Arial"/>
        </w:rPr>
        <w:t>as a director and officer.</w:t>
      </w:r>
    </w:p>
    <w:p w14:paraId="6D387D9B" w14:textId="32047B35" w:rsidR="005D31E5" w:rsidRDefault="005D31E5" w:rsidP="005F69BB">
      <w:pPr>
        <w:spacing w:line="480" w:lineRule="auto"/>
        <w:jc w:val="both"/>
        <w:outlineLvl w:val="0"/>
        <w:rPr>
          <w:rFonts w:cs="Arial"/>
        </w:rPr>
      </w:pPr>
      <w:r>
        <w:rPr>
          <w:rFonts w:cs="Arial"/>
        </w:rPr>
        <w:tab/>
      </w:r>
      <w:r w:rsidR="008365C3">
        <w:rPr>
          <w:rFonts w:cs="Arial"/>
        </w:rPr>
        <w:t>As noted above, t</w:t>
      </w:r>
      <w:r w:rsidR="004D28C0">
        <w:rPr>
          <w:rFonts w:cs="Arial"/>
        </w:rPr>
        <w:t>he primary defendants</w:t>
      </w:r>
      <w:r w:rsidR="00F005BB">
        <w:rPr>
          <w:rStyle w:val="FootnoteReference"/>
          <w:rFonts w:cs="Arial"/>
        </w:rPr>
        <w:footnoteReference w:id="3"/>
      </w:r>
      <w:r w:rsidR="004D28C0">
        <w:rPr>
          <w:rFonts w:cs="Arial"/>
        </w:rPr>
        <w:t xml:space="preserve"> have not yet answered. </w:t>
      </w:r>
      <w:r w:rsidR="00C64461">
        <w:rPr>
          <w:rFonts w:cs="Arial"/>
        </w:rPr>
        <w:t>Rather, o</w:t>
      </w:r>
      <w:r w:rsidR="004D28C0">
        <w:rPr>
          <w:rFonts w:cs="Arial"/>
        </w:rPr>
        <w:t xml:space="preserve">n December 5, 2016, </w:t>
      </w:r>
      <w:r>
        <w:rPr>
          <w:rFonts w:cs="Arial"/>
        </w:rPr>
        <w:t>Fathi Yusuf filed a motion to dismiss which is pending</w:t>
      </w:r>
      <w:r w:rsidR="004D28C0">
        <w:rPr>
          <w:rFonts w:cs="Arial"/>
        </w:rPr>
        <w:t xml:space="preserve">—based in part on the </w:t>
      </w:r>
      <w:r w:rsidR="004B3ACD">
        <w:rPr>
          <w:rFonts w:cs="Arial"/>
        </w:rPr>
        <w:t xml:space="preserve">Hamed’s </w:t>
      </w:r>
      <w:r w:rsidR="004D28C0">
        <w:rPr>
          <w:rFonts w:cs="Arial"/>
        </w:rPr>
        <w:t xml:space="preserve">failure to </w:t>
      </w:r>
      <w:r w:rsidR="002F2380">
        <w:rPr>
          <w:rFonts w:cs="Arial"/>
        </w:rPr>
        <w:t>join</w:t>
      </w:r>
      <w:r w:rsidR="004D28C0">
        <w:rPr>
          <w:rFonts w:cs="Arial"/>
        </w:rPr>
        <w:t xml:space="preserve"> his niece</w:t>
      </w:r>
      <w:r w:rsidR="002F2380">
        <w:rPr>
          <w:rFonts w:cs="Arial"/>
        </w:rPr>
        <w:t xml:space="preserve"> (</w:t>
      </w:r>
      <w:r w:rsidR="004D28C0">
        <w:rPr>
          <w:rFonts w:cs="Arial"/>
        </w:rPr>
        <w:t>Manal</w:t>
      </w:r>
      <w:r w:rsidR="002F2380">
        <w:rPr>
          <w:rFonts w:cs="Arial"/>
        </w:rPr>
        <w:t>)</w:t>
      </w:r>
      <w:r w:rsidR="004D28C0">
        <w:rPr>
          <w:rFonts w:cs="Arial"/>
        </w:rPr>
        <w:t xml:space="preserve"> as a defendant</w:t>
      </w:r>
      <w:r w:rsidR="008365C3">
        <w:rPr>
          <w:rFonts w:cs="Arial"/>
        </w:rPr>
        <w:t xml:space="preserve"> here</w:t>
      </w:r>
      <w:r w:rsidR="002F2380">
        <w:rPr>
          <w:rFonts w:cs="Arial"/>
        </w:rPr>
        <w:t>. O</w:t>
      </w:r>
      <w:r w:rsidR="004D28C0">
        <w:rPr>
          <w:rFonts w:cs="Arial"/>
        </w:rPr>
        <w:t xml:space="preserve">n June 14, 2017, </w:t>
      </w:r>
      <w:r>
        <w:rPr>
          <w:rFonts w:cs="Arial"/>
        </w:rPr>
        <w:t xml:space="preserve">Isam </w:t>
      </w:r>
      <w:r w:rsidR="00FA27BF">
        <w:rPr>
          <w:rFonts w:cs="Arial"/>
        </w:rPr>
        <w:t xml:space="preserve">(Manal’s brother) </w:t>
      </w:r>
      <w:r>
        <w:rPr>
          <w:rFonts w:cs="Arial"/>
        </w:rPr>
        <w:t xml:space="preserve">and Jamil </w:t>
      </w:r>
      <w:r w:rsidR="00FA27BF">
        <w:rPr>
          <w:rFonts w:cs="Arial"/>
        </w:rPr>
        <w:t>(Isam’s son</w:t>
      </w:r>
      <w:r w:rsidR="002F2380">
        <w:rPr>
          <w:rFonts w:cs="Arial"/>
        </w:rPr>
        <w:t>)</w:t>
      </w:r>
      <w:r w:rsidR="00FA27BF">
        <w:rPr>
          <w:rFonts w:cs="Arial"/>
        </w:rPr>
        <w:t xml:space="preserve"> </w:t>
      </w:r>
      <w:r>
        <w:rPr>
          <w:rFonts w:cs="Arial"/>
        </w:rPr>
        <w:t xml:space="preserve">filed a </w:t>
      </w:r>
      <w:r w:rsidR="001677B9">
        <w:rPr>
          <w:rFonts w:cs="Arial"/>
        </w:rPr>
        <w:t xml:space="preserve">48-page memorandum in support of a </w:t>
      </w:r>
      <w:r>
        <w:rPr>
          <w:rFonts w:cs="Arial"/>
        </w:rPr>
        <w:t>motion to dismiss</w:t>
      </w:r>
      <w:r w:rsidR="001677B9">
        <w:rPr>
          <w:rFonts w:cs="Arial"/>
        </w:rPr>
        <w:t xml:space="preserve"> based on a number of issues</w:t>
      </w:r>
      <w:r w:rsidR="00C64461">
        <w:rPr>
          <w:rFonts w:cs="Arial"/>
        </w:rPr>
        <w:t>, including “</w:t>
      </w:r>
      <w:r w:rsidR="00C64461">
        <w:t>[the FAC]</w:t>
      </w:r>
      <w:r w:rsidR="001677B9">
        <w:t xml:space="preserve"> fails to join an indispensable party, namely, Mana! Yousef.” </w:t>
      </w:r>
      <w:r>
        <w:rPr>
          <w:rFonts w:cs="Arial"/>
        </w:rPr>
        <w:t xml:space="preserve"> Nominal defendant Sixteen </w:t>
      </w:r>
      <w:r>
        <w:rPr>
          <w:rFonts w:cs="Arial"/>
        </w:rPr>
        <w:lastRenderedPageBreak/>
        <w:t xml:space="preserve">Plus, through independent counsel, filed an answer essentially stating </w:t>
      </w:r>
      <w:r w:rsidR="002F2380">
        <w:rPr>
          <w:rFonts w:cs="Arial"/>
        </w:rPr>
        <w:t xml:space="preserve">the requisite </w:t>
      </w:r>
      <w:r>
        <w:rPr>
          <w:rFonts w:cs="Arial"/>
        </w:rPr>
        <w:t xml:space="preserve">neutrality. </w:t>
      </w:r>
    </w:p>
    <w:p w14:paraId="5D755587" w14:textId="70F75BBF" w:rsidR="005F69BB" w:rsidRDefault="000E3665" w:rsidP="000E3665">
      <w:pPr>
        <w:spacing w:line="480" w:lineRule="auto"/>
        <w:ind w:firstLine="720"/>
        <w:jc w:val="both"/>
        <w:outlineLvl w:val="0"/>
        <w:rPr>
          <w:rFonts w:cs="Arial"/>
        </w:rPr>
      </w:pPr>
      <w:r>
        <w:rPr>
          <w:rFonts w:cs="Arial"/>
        </w:rPr>
        <w:t>Third</w:t>
      </w:r>
      <w:r w:rsidR="005F69BB">
        <w:rPr>
          <w:rFonts w:cs="Arial"/>
        </w:rPr>
        <w:t xml:space="preserve">, </w:t>
      </w:r>
      <w:r w:rsidR="005D31E5">
        <w:rPr>
          <w:rFonts w:cs="Arial"/>
        </w:rPr>
        <w:t>on September 31,</w:t>
      </w:r>
      <w:r w:rsidR="005F69BB">
        <w:rPr>
          <w:rFonts w:cs="Arial"/>
        </w:rPr>
        <w:t xml:space="preserve"> 2017, Manal filed an action on the same note and mortgage—again alleging an </w:t>
      </w:r>
      <w:r w:rsidR="005F69BB" w:rsidRPr="00336819">
        <w:rPr>
          <w:rFonts w:cs="Arial"/>
          <w:i/>
          <w:iCs/>
          <w:u w:val="single"/>
        </w:rPr>
        <w:t>identical breach</w:t>
      </w:r>
      <w:r w:rsidR="005D31E5">
        <w:rPr>
          <w:rFonts w:cs="Arial"/>
          <w:i/>
          <w:iCs/>
          <w:u w:val="single"/>
        </w:rPr>
        <w:t xml:space="preserve"> as she alleged in the counterclaim to the 65 </w:t>
      </w:r>
      <w:proofErr w:type="gramStart"/>
      <w:r w:rsidR="005D31E5">
        <w:rPr>
          <w:rFonts w:cs="Arial"/>
          <w:i/>
          <w:iCs/>
          <w:u w:val="single"/>
        </w:rPr>
        <w:t>action</w:t>
      </w:r>
      <w:proofErr w:type="gramEnd"/>
      <w:r w:rsidR="005F69BB">
        <w:rPr>
          <w:rFonts w:cs="Arial"/>
        </w:rPr>
        <w:t xml:space="preserve">. </w:t>
      </w:r>
      <w:r w:rsidR="005F69BB" w:rsidRPr="00E274AC">
        <w:rPr>
          <w:rFonts w:cs="Arial"/>
          <w:i/>
          <w:iCs/>
        </w:rPr>
        <w:t>Manal Yousef v. Sixteen Plus</w:t>
      </w:r>
      <w:r w:rsidR="005F69BB">
        <w:rPr>
          <w:rFonts w:cs="Arial"/>
        </w:rPr>
        <w:t>, SX-2017-CV-00342 (“342 Action</w:t>
      </w:r>
      <w:r w:rsidR="00C64461">
        <w:rPr>
          <w:rFonts w:cs="Arial"/>
        </w:rPr>
        <w:t>”</w:t>
      </w:r>
      <w:r w:rsidR="005F69BB">
        <w:rPr>
          <w:rFonts w:cs="Arial"/>
        </w:rPr>
        <w:t xml:space="preserve">). </w:t>
      </w:r>
      <w:r w:rsidR="005D31E5">
        <w:rPr>
          <w:rFonts w:cs="Arial"/>
        </w:rPr>
        <w:t xml:space="preserve">However, as she had sought </w:t>
      </w:r>
      <w:r w:rsidR="008365C3">
        <w:rPr>
          <w:rFonts w:cs="Arial"/>
        </w:rPr>
        <w:t xml:space="preserve">only </w:t>
      </w:r>
      <w:r w:rsidR="005D31E5">
        <w:rPr>
          <w:rFonts w:cs="Arial"/>
        </w:rPr>
        <w:t xml:space="preserve">declaratory relief in 65, </w:t>
      </w:r>
      <w:r w:rsidR="008365C3">
        <w:rPr>
          <w:rFonts w:cs="Arial"/>
        </w:rPr>
        <w:t xml:space="preserve">in 342 </w:t>
      </w:r>
      <w:r w:rsidR="005D31E5">
        <w:rPr>
          <w:rFonts w:cs="Arial"/>
        </w:rPr>
        <w:t>she sought foreclosure and a deficiency judgment.</w:t>
      </w:r>
      <w:r w:rsidR="00C915CF">
        <w:rPr>
          <w:rFonts w:cs="Arial"/>
        </w:rPr>
        <w:t xml:space="preserve"> Sixteen Plus answered and filed a counterclaim</w:t>
      </w:r>
      <w:r w:rsidR="008365C3">
        <w:rPr>
          <w:rFonts w:cs="Arial"/>
        </w:rPr>
        <w:t xml:space="preserve">, as well as a </w:t>
      </w:r>
      <w:r w:rsidR="00C915CF">
        <w:rPr>
          <w:rFonts w:cs="Arial"/>
        </w:rPr>
        <w:t>third-party action against Fathi Yusuf.</w:t>
      </w:r>
    </w:p>
    <w:p w14:paraId="795F0E3B" w14:textId="4D6925F0" w:rsidR="005D31E5" w:rsidRDefault="005F69BB" w:rsidP="005F69BB">
      <w:pPr>
        <w:spacing w:line="480" w:lineRule="auto"/>
        <w:ind w:firstLine="720"/>
        <w:jc w:val="both"/>
        <w:outlineLvl w:val="0"/>
        <w:rPr>
          <w:rFonts w:cs="Arial"/>
        </w:rPr>
      </w:pPr>
      <w:r>
        <w:rPr>
          <w:rFonts w:cs="Arial"/>
        </w:rPr>
        <w:t xml:space="preserve">On December 16, 2018, Judge Willocks consolidated the </w:t>
      </w:r>
      <w:r w:rsidR="005D31E5">
        <w:rPr>
          <w:rFonts w:cs="Arial"/>
        </w:rPr>
        <w:t xml:space="preserve">65 and 342 </w:t>
      </w:r>
      <w:r>
        <w:rPr>
          <w:rFonts w:cs="Arial"/>
        </w:rPr>
        <w:t xml:space="preserve">cases, and assigned </w:t>
      </w:r>
      <w:r w:rsidR="008D0218">
        <w:rPr>
          <w:rFonts w:cs="Arial"/>
        </w:rPr>
        <w:t xml:space="preserve">them </w:t>
      </w:r>
      <w:r>
        <w:rPr>
          <w:rFonts w:cs="Arial"/>
        </w:rPr>
        <w:t>to Judge Meade.</w:t>
      </w:r>
      <w:r w:rsidR="00171EF8">
        <w:rPr>
          <w:rFonts w:cs="Arial"/>
        </w:rPr>
        <w:t xml:space="preserve"> Thereafter, all three cases fell down a hole of no one person’s making</w:t>
      </w:r>
      <w:r w:rsidR="004B3ACD">
        <w:rPr>
          <w:rFonts w:cs="Arial"/>
        </w:rPr>
        <w:t>, a</w:t>
      </w:r>
      <w:r w:rsidR="008D0218">
        <w:rPr>
          <w:rFonts w:cs="Arial"/>
        </w:rPr>
        <w:t>s follows</w:t>
      </w:r>
      <w:r w:rsidR="00171EF8">
        <w:rPr>
          <w:rFonts w:cs="Arial"/>
        </w:rPr>
        <w:t>:</w:t>
      </w:r>
    </w:p>
    <w:p w14:paraId="1B4AE29A" w14:textId="6125A805" w:rsidR="00171EF8" w:rsidRPr="00772C62" w:rsidRDefault="00171EF8" w:rsidP="00171EF8">
      <w:pPr>
        <w:pStyle w:val="ListParagraph"/>
        <w:numPr>
          <w:ilvl w:val="0"/>
          <w:numId w:val="17"/>
        </w:numPr>
        <w:spacing w:line="480" w:lineRule="auto"/>
        <w:jc w:val="both"/>
        <w:outlineLvl w:val="0"/>
        <w:rPr>
          <w:rFonts w:ascii="Arial" w:hAnsi="Arial" w:cs="Arial"/>
          <w:sz w:val="24"/>
          <w:szCs w:val="24"/>
        </w:rPr>
      </w:pPr>
      <w:r w:rsidRPr="00772C62">
        <w:rPr>
          <w:rFonts w:ascii="Arial" w:hAnsi="Arial" w:cs="Arial"/>
          <w:sz w:val="24"/>
          <w:szCs w:val="24"/>
        </w:rPr>
        <w:t xml:space="preserve">Having been assigned the two consolidated companion cases 65 and 342, Judge Meade, </w:t>
      </w:r>
      <w:r w:rsidRPr="00C64461">
        <w:rPr>
          <w:rFonts w:ascii="Arial" w:hAnsi="Arial" w:cs="Arial"/>
          <w:i/>
          <w:iCs/>
          <w:sz w:val="24"/>
          <w:szCs w:val="24"/>
        </w:rPr>
        <w:t>sua sponte</w:t>
      </w:r>
      <w:r w:rsidRPr="00772C62">
        <w:rPr>
          <w:rFonts w:ascii="Arial" w:hAnsi="Arial" w:cs="Arial"/>
          <w:sz w:val="24"/>
          <w:szCs w:val="24"/>
        </w:rPr>
        <w:t>, attempted to refer those two cases to the Complex Litigation Division.</w:t>
      </w:r>
    </w:p>
    <w:p w14:paraId="6717179C" w14:textId="1869A7AC" w:rsidR="00171EF8" w:rsidRPr="00772C62" w:rsidRDefault="00171EF8" w:rsidP="00171EF8">
      <w:pPr>
        <w:pStyle w:val="ListParagraph"/>
        <w:numPr>
          <w:ilvl w:val="0"/>
          <w:numId w:val="17"/>
        </w:numPr>
        <w:spacing w:line="480" w:lineRule="auto"/>
        <w:jc w:val="both"/>
        <w:outlineLvl w:val="0"/>
        <w:rPr>
          <w:rFonts w:ascii="Arial" w:hAnsi="Arial" w:cs="Arial"/>
          <w:sz w:val="24"/>
          <w:szCs w:val="24"/>
        </w:rPr>
      </w:pPr>
      <w:r w:rsidRPr="00772C62">
        <w:rPr>
          <w:rFonts w:ascii="Arial" w:hAnsi="Arial" w:cs="Arial"/>
          <w:sz w:val="24"/>
          <w:szCs w:val="24"/>
        </w:rPr>
        <w:t>Less than 3 weeks later, Hamed filed his brief in support</w:t>
      </w:r>
      <w:r w:rsidR="00772C62" w:rsidRPr="00772C62">
        <w:rPr>
          <w:rFonts w:ascii="Arial" w:hAnsi="Arial" w:cs="Arial"/>
          <w:sz w:val="24"/>
          <w:szCs w:val="24"/>
        </w:rPr>
        <w:t>—and suggested that this (650) case be included.</w:t>
      </w:r>
    </w:p>
    <w:p w14:paraId="71364784" w14:textId="30283CEE" w:rsidR="00171EF8" w:rsidRPr="00772C62" w:rsidRDefault="00772C62" w:rsidP="00171EF8">
      <w:pPr>
        <w:pStyle w:val="ListParagraph"/>
        <w:numPr>
          <w:ilvl w:val="0"/>
          <w:numId w:val="17"/>
        </w:numPr>
        <w:spacing w:line="480" w:lineRule="auto"/>
        <w:jc w:val="both"/>
        <w:outlineLvl w:val="0"/>
        <w:rPr>
          <w:rFonts w:ascii="Arial" w:hAnsi="Arial" w:cs="Arial"/>
          <w:sz w:val="24"/>
          <w:szCs w:val="24"/>
        </w:rPr>
      </w:pPr>
      <w:r w:rsidRPr="00772C62">
        <w:rPr>
          <w:rFonts w:ascii="Arial" w:hAnsi="Arial" w:cs="Arial"/>
          <w:sz w:val="24"/>
          <w:szCs w:val="24"/>
        </w:rPr>
        <w:t>Less than 3 weeks later, both Manal and the defendants here filed oppositions.</w:t>
      </w:r>
    </w:p>
    <w:p w14:paraId="12B64211" w14:textId="4FD4C810" w:rsidR="00772C62" w:rsidRPr="00772C62" w:rsidRDefault="00772C62" w:rsidP="00171EF8">
      <w:pPr>
        <w:pStyle w:val="ListParagraph"/>
        <w:numPr>
          <w:ilvl w:val="0"/>
          <w:numId w:val="17"/>
        </w:numPr>
        <w:spacing w:line="480" w:lineRule="auto"/>
        <w:jc w:val="both"/>
        <w:outlineLvl w:val="0"/>
        <w:rPr>
          <w:rFonts w:ascii="Arial" w:hAnsi="Arial" w:cs="Arial"/>
          <w:sz w:val="24"/>
          <w:szCs w:val="24"/>
        </w:rPr>
      </w:pPr>
      <w:r w:rsidRPr="00772C62">
        <w:rPr>
          <w:rFonts w:ascii="Arial" w:hAnsi="Arial" w:cs="Arial"/>
          <w:sz w:val="24"/>
          <w:szCs w:val="24"/>
        </w:rPr>
        <w:t>On March 16, 2020, Judge Malloy denied the motion, stating:</w:t>
      </w:r>
    </w:p>
    <w:p w14:paraId="310BE794" w14:textId="623D441D" w:rsidR="00772C62" w:rsidRDefault="00772C62" w:rsidP="00772C62">
      <w:pPr>
        <w:pStyle w:val="ListParagraph"/>
        <w:spacing w:after="0" w:line="240" w:lineRule="auto"/>
        <w:ind w:left="1080" w:right="720"/>
        <w:jc w:val="both"/>
        <w:outlineLvl w:val="0"/>
        <w:rPr>
          <w:rFonts w:ascii="Arial" w:hAnsi="Arial" w:cs="Arial"/>
          <w:sz w:val="24"/>
        </w:rPr>
      </w:pPr>
      <w:r w:rsidRPr="00772C62">
        <w:rPr>
          <w:rFonts w:ascii="Arial" w:hAnsi="Arial" w:cs="Arial"/>
          <w:sz w:val="24"/>
        </w:rPr>
        <w:t>It might be just, efficient, and cost-effective to reassign all the cases to the same judge. But only the Sixteen Plus Cases were referred to this Court to determine whether they are complex. And for that reason, the Court concludes that transferring fewer than all the cases to the Complex Litigation Division would not be "the most just, efficient, and cost-effective for the Court, counsel, and the parties."</w:t>
      </w:r>
    </w:p>
    <w:p w14:paraId="636AFE20" w14:textId="1AA3F98E" w:rsidR="00772C62" w:rsidRDefault="00772C62" w:rsidP="00772C62">
      <w:pPr>
        <w:pStyle w:val="ListParagraph"/>
        <w:spacing w:after="0" w:line="240" w:lineRule="auto"/>
        <w:ind w:left="1080" w:right="720"/>
        <w:jc w:val="both"/>
        <w:outlineLvl w:val="0"/>
        <w:rPr>
          <w:rFonts w:ascii="Arial" w:hAnsi="Arial" w:cs="Arial"/>
          <w:sz w:val="24"/>
        </w:rPr>
      </w:pPr>
    </w:p>
    <w:p w14:paraId="23C83202" w14:textId="77777777" w:rsidR="002F2380" w:rsidRDefault="00772C62" w:rsidP="002F2380">
      <w:pPr>
        <w:pStyle w:val="ListParagraph"/>
        <w:numPr>
          <w:ilvl w:val="0"/>
          <w:numId w:val="17"/>
        </w:numPr>
        <w:spacing w:after="0" w:line="480" w:lineRule="auto"/>
        <w:ind w:right="720"/>
        <w:jc w:val="both"/>
        <w:outlineLvl w:val="0"/>
        <w:rPr>
          <w:rFonts w:cs="Arial"/>
        </w:rPr>
      </w:pPr>
      <w:r w:rsidRPr="00772C62">
        <w:rPr>
          <w:rFonts w:ascii="Arial" w:hAnsi="Arial" w:cs="Arial"/>
          <w:sz w:val="24"/>
        </w:rPr>
        <w:t xml:space="preserve">That, of course, is </w:t>
      </w:r>
      <w:r w:rsidRPr="008D0218">
        <w:rPr>
          <w:rFonts w:ascii="Arial" w:hAnsi="Arial" w:cs="Arial"/>
          <w:i/>
          <w:iCs/>
          <w:sz w:val="24"/>
          <w:u w:val="single"/>
        </w:rPr>
        <w:t>exactly</w:t>
      </w:r>
      <w:r w:rsidRPr="00772C62">
        <w:rPr>
          <w:rFonts w:ascii="Arial" w:hAnsi="Arial" w:cs="Arial"/>
          <w:sz w:val="24"/>
        </w:rPr>
        <w:t xml:space="preserve"> when COVID struck. And it was not until July 27, 2022, that the parties jointly filed the</w:t>
      </w:r>
      <w:r w:rsidR="00C64461">
        <w:rPr>
          <w:rFonts w:ascii="Arial" w:hAnsi="Arial" w:cs="Arial"/>
          <w:sz w:val="24"/>
        </w:rPr>
        <w:t xml:space="preserve">ir </w:t>
      </w:r>
      <w:r w:rsidRPr="008D0218">
        <w:rPr>
          <w:rFonts w:ascii="Arial" w:hAnsi="Arial" w:cs="Arial"/>
          <w:i/>
          <w:iCs/>
          <w:sz w:val="24"/>
        </w:rPr>
        <w:t>Joint Report and Motion for Scheduling Order</w:t>
      </w:r>
      <w:r>
        <w:rPr>
          <w:rFonts w:ascii="Arial" w:hAnsi="Arial" w:cs="Arial"/>
          <w:sz w:val="24"/>
        </w:rPr>
        <w:t xml:space="preserve">. </w:t>
      </w:r>
    </w:p>
    <w:p w14:paraId="1D9A2CAA" w14:textId="61DBC023" w:rsidR="00772C62" w:rsidRPr="002F2380" w:rsidRDefault="00772C62" w:rsidP="002F2380">
      <w:pPr>
        <w:pStyle w:val="ListParagraph"/>
        <w:numPr>
          <w:ilvl w:val="0"/>
          <w:numId w:val="17"/>
        </w:numPr>
        <w:spacing w:after="0" w:line="480" w:lineRule="auto"/>
        <w:ind w:right="720"/>
        <w:jc w:val="both"/>
        <w:outlineLvl w:val="0"/>
        <w:rPr>
          <w:rFonts w:cs="Arial"/>
        </w:rPr>
      </w:pPr>
      <w:r w:rsidRPr="002F2380">
        <w:rPr>
          <w:rFonts w:ascii="Arial" w:hAnsi="Arial" w:cs="Arial"/>
          <w:sz w:val="24"/>
        </w:rPr>
        <w:t>Since then, the parties have proceeded with surprising alacrity.</w:t>
      </w:r>
    </w:p>
    <w:p w14:paraId="4666DF72" w14:textId="77777777" w:rsidR="002F2380" w:rsidRPr="002F2380" w:rsidRDefault="002F2380" w:rsidP="002F2380">
      <w:pPr>
        <w:pStyle w:val="ListParagraph"/>
        <w:spacing w:after="0" w:line="240" w:lineRule="auto"/>
        <w:ind w:left="1080" w:right="720"/>
        <w:jc w:val="both"/>
        <w:outlineLvl w:val="0"/>
        <w:rPr>
          <w:rFonts w:cs="Arial"/>
        </w:rPr>
      </w:pPr>
    </w:p>
    <w:p w14:paraId="06C588FF" w14:textId="0D8ADD3A" w:rsidR="00FB47CF" w:rsidRPr="00FB47CF" w:rsidRDefault="001677B9" w:rsidP="00FB47CF">
      <w:pPr>
        <w:pStyle w:val="ListParagraph"/>
        <w:numPr>
          <w:ilvl w:val="0"/>
          <w:numId w:val="13"/>
        </w:numPr>
        <w:spacing w:after="0" w:line="480" w:lineRule="auto"/>
        <w:ind w:left="0" w:firstLine="0"/>
        <w:jc w:val="both"/>
        <w:outlineLvl w:val="0"/>
        <w:rPr>
          <w:rFonts w:ascii="Arial" w:hAnsi="Arial" w:cs="Arial"/>
          <w:b/>
          <w:bCs/>
          <w:sz w:val="24"/>
        </w:rPr>
      </w:pPr>
      <w:r w:rsidRPr="001677B9">
        <w:rPr>
          <w:rFonts w:ascii="Arial" w:hAnsi="Arial" w:cs="Arial"/>
          <w:b/>
          <w:bCs/>
          <w:sz w:val="24"/>
        </w:rPr>
        <w:t>Facts</w:t>
      </w:r>
    </w:p>
    <w:p w14:paraId="45501AB5" w14:textId="63D5391A" w:rsidR="001677B9" w:rsidRDefault="00E63CC0" w:rsidP="00FB47CF">
      <w:pPr>
        <w:spacing w:line="480" w:lineRule="auto"/>
        <w:ind w:firstLine="720"/>
        <w:jc w:val="both"/>
        <w:outlineLvl w:val="0"/>
        <w:rPr>
          <w:rFonts w:cs="Arial"/>
        </w:rPr>
      </w:pPr>
      <w:r>
        <w:rPr>
          <w:rFonts w:cs="Arial"/>
        </w:rPr>
        <w:t xml:space="preserve">As set forth in </w:t>
      </w:r>
      <w:r w:rsidRPr="00122373">
        <w:rPr>
          <w:rFonts w:cs="Arial"/>
          <w:i/>
          <w:iCs/>
        </w:rPr>
        <w:t>Hamed’s Second Motion to Compel: As to Banking Records of Isam Yusuf</w:t>
      </w:r>
      <w:r w:rsidR="00122373">
        <w:rPr>
          <w:rFonts w:cs="Arial"/>
        </w:rPr>
        <w:t>,</w:t>
      </w:r>
      <w:r w:rsidR="002F2380">
        <w:rPr>
          <w:rStyle w:val="FootnoteReference"/>
          <w:rFonts w:cs="Arial"/>
        </w:rPr>
        <w:footnoteReference w:id="4"/>
      </w:r>
      <w:r w:rsidR="00122373">
        <w:rPr>
          <w:rFonts w:cs="Arial"/>
        </w:rPr>
        <w:t xml:space="preserve"> there are two starkly different factual views here. At page 6,</w:t>
      </w:r>
    </w:p>
    <w:p w14:paraId="230C2485" w14:textId="26BB3E8D" w:rsidR="00122373" w:rsidRDefault="00122373" w:rsidP="00122373">
      <w:pPr>
        <w:ind w:left="720" w:right="720"/>
        <w:jc w:val="both"/>
        <w:outlineLvl w:val="0"/>
      </w:pPr>
      <w:r w:rsidRPr="00122373">
        <w:rPr>
          <w:rFonts w:cs="Arial"/>
        </w:rPr>
        <w:t>Hamed will seek to argue that the central factual issue in this series of cases is starkly black and white: Whose funds were really provided to Sixteen Plus? Did Manal Yousef’s father deposit $4.5 million into Isam Yousuf’s BFC accounts over a seven-year period as he alleges, or was the money in those accounts simply skimmed funds put there by Wally and Fathi over a very short period from April 1996, onwards? In other words, were Manal’s funds loaned to Sixteen Plus to buy the subject land, or were only Hamed’s and Yusuf’s funds being deposited and transferred to Sixteen Plus to buy the land?</w:t>
      </w:r>
      <w:r>
        <w:rPr>
          <w:rFonts w:cs="Arial"/>
        </w:rPr>
        <w:t xml:space="preserve"> </w:t>
      </w:r>
      <w:r>
        <w:t xml:space="preserve">If these were not Manal’s funds, there was “fraud, coercion or other nefarious inducement into the [mortgage] contract.” </w:t>
      </w:r>
      <w:r w:rsidRPr="003A725A">
        <w:rPr>
          <w:i/>
          <w:iCs/>
        </w:rPr>
        <w:t>Celestin v. LLP Mortg., Ltd.,</w:t>
      </w:r>
      <w:r>
        <w:t xml:space="preserve"> No. 2007-014, 2007 VI Supreme LEXIS 6, at *5 (Nov. 9, 2007)(</w:t>
      </w:r>
      <w:r w:rsidRPr="003A725A">
        <w:rPr>
          <w:i/>
          <w:iCs/>
        </w:rPr>
        <w:t>citing Restatement (Third) of Property (Mortgages)</w:t>
      </w:r>
      <w:r>
        <w:t xml:space="preserve"> §§ 1.1 and 1,2.)</w:t>
      </w:r>
      <w:r w:rsidRPr="00122373">
        <w:rPr>
          <w:vertAlign w:val="superscript"/>
        </w:rPr>
        <w:t>7</w:t>
      </w:r>
      <w:r>
        <w:t>[</w:t>
      </w:r>
      <w:r>
        <w:rPr>
          <w:rStyle w:val="FootnoteReference"/>
        </w:rPr>
        <w:footnoteReference w:id="5"/>
      </w:r>
      <w:r>
        <w:t xml:space="preserve">] The V.I. Supreme Court having adopted it, Hamed will contend that </w:t>
      </w:r>
      <w:r w:rsidRPr="003A725A">
        <w:rPr>
          <w:i/>
          <w:iCs/>
        </w:rPr>
        <w:t>Restatement 3d of Property: Mortgages, § 1.2</w:t>
      </w:r>
      <w:r>
        <w:t xml:space="preserve">, is clear—that where sham notes and the associated mortgages arise without any real value having been provided by the putative loaning party (i.e., undertaken without actual funding for some other </w:t>
      </w:r>
      <w:r w:rsidR="003A725A">
        <w:t>purpose.</w:t>
      </w:r>
      <w:r>
        <w:t>* * * *At trial, Hamed will seek to prove that the two $2 million tranches of funds transmitted by Isam Yousuf to Sixteen Plus were solely monies belonging to the Hamed and Yusuf families: “The sole purpose of the mortgage [from Manal was] to. . .” change the apparent owner of the funds and to “establish a lien priority superior to the claims of possible future creditors.” Id. But Isam Yousuf will counter that this was a real loan—that these were separate, unrelated funds coincidentally in his same 1995 Isam BFC accounts—funds his father (Mohammad) had deposited into Isam’s accounts slowly, in smaller deposits over a long period—as a gift to Manal Yousef. These are two radically different stories.</w:t>
      </w:r>
    </w:p>
    <w:p w14:paraId="4951BB3B" w14:textId="77777777" w:rsidR="003A725A" w:rsidRPr="00122373" w:rsidRDefault="003A725A" w:rsidP="00122373">
      <w:pPr>
        <w:ind w:left="720" w:right="720"/>
        <w:jc w:val="both"/>
        <w:outlineLvl w:val="0"/>
        <w:rPr>
          <w:rFonts w:cs="Arial"/>
        </w:rPr>
      </w:pPr>
    </w:p>
    <w:p w14:paraId="2E4F8A8B" w14:textId="565ED263" w:rsidR="00FB47CF" w:rsidRDefault="00C64461" w:rsidP="00F005BB">
      <w:pPr>
        <w:pStyle w:val="ListParagraph"/>
        <w:spacing w:after="0" w:line="480" w:lineRule="auto"/>
        <w:ind w:left="0" w:firstLine="720"/>
        <w:jc w:val="both"/>
        <w:outlineLvl w:val="0"/>
        <w:rPr>
          <w:rFonts w:ascii="Arial" w:hAnsi="Arial" w:cs="Arial"/>
          <w:sz w:val="24"/>
        </w:rPr>
      </w:pPr>
      <w:r>
        <w:rPr>
          <w:rFonts w:ascii="Arial" w:hAnsi="Arial" w:cs="Arial"/>
          <w:sz w:val="24"/>
        </w:rPr>
        <w:t>Another</w:t>
      </w:r>
      <w:r w:rsidR="006B39B4" w:rsidRPr="006B39B4">
        <w:rPr>
          <w:rFonts w:ascii="Arial" w:hAnsi="Arial" w:cs="Arial"/>
          <w:sz w:val="24"/>
        </w:rPr>
        <w:t xml:space="preserve"> </w:t>
      </w:r>
      <w:r w:rsidR="00FA27BF">
        <w:rPr>
          <w:rFonts w:ascii="Arial" w:hAnsi="Arial" w:cs="Arial"/>
          <w:sz w:val="24"/>
        </w:rPr>
        <w:t xml:space="preserve">critical </w:t>
      </w:r>
      <w:r w:rsidR="006B39B4" w:rsidRPr="006B39B4">
        <w:rPr>
          <w:rFonts w:ascii="Arial" w:hAnsi="Arial" w:cs="Arial"/>
          <w:sz w:val="24"/>
        </w:rPr>
        <w:t xml:space="preserve">“fact” is that the defendants have stated that </w:t>
      </w:r>
      <w:r w:rsidR="006B39B4" w:rsidRPr="005A7987">
        <w:rPr>
          <w:rFonts w:ascii="Arial" w:hAnsi="Arial" w:cs="Arial"/>
          <w:sz w:val="24"/>
        </w:rPr>
        <w:t xml:space="preserve">Manal </w:t>
      </w:r>
      <w:r w:rsidR="006B39B4" w:rsidRPr="008D0218">
        <w:rPr>
          <w:rFonts w:ascii="Arial" w:hAnsi="Arial" w:cs="Arial"/>
          <w:i/>
          <w:iCs/>
          <w:sz w:val="24"/>
        </w:rPr>
        <w:t xml:space="preserve">should </w:t>
      </w:r>
      <w:r w:rsidR="006B39B4" w:rsidRPr="005A7987">
        <w:rPr>
          <w:rFonts w:ascii="Arial" w:hAnsi="Arial" w:cs="Arial"/>
          <w:sz w:val="24"/>
        </w:rPr>
        <w:t>be joined</w:t>
      </w:r>
      <w:r w:rsidR="006B39B4" w:rsidRPr="006B39B4">
        <w:rPr>
          <w:rFonts w:ascii="Arial" w:hAnsi="Arial" w:cs="Arial"/>
          <w:sz w:val="24"/>
        </w:rPr>
        <w:t>.</w:t>
      </w:r>
      <w:r w:rsidR="006B39B4">
        <w:rPr>
          <w:rFonts w:ascii="Arial" w:hAnsi="Arial" w:cs="Arial"/>
          <w:b/>
          <w:bCs/>
          <w:sz w:val="24"/>
        </w:rPr>
        <w:t xml:space="preserve"> </w:t>
      </w:r>
      <w:r w:rsidR="00FB47CF">
        <w:rPr>
          <w:rFonts w:ascii="Arial" w:hAnsi="Arial" w:cs="Arial"/>
          <w:sz w:val="24"/>
        </w:rPr>
        <w:t>As stated above, none of the primary defendants</w:t>
      </w:r>
      <w:r w:rsidR="00F005BB">
        <w:rPr>
          <w:rFonts w:ascii="Arial" w:hAnsi="Arial" w:cs="Arial"/>
          <w:sz w:val="24"/>
        </w:rPr>
        <w:t xml:space="preserve"> have answered here—filing motions to dismiss instead. In Fathi’s January 9, 2017 motion to dismiss the </w:t>
      </w:r>
      <w:r w:rsidR="002F2380">
        <w:rPr>
          <w:rFonts w:ascii="Arial" w:hAnsi="Arial" w:cs="Arial"/>
          <w:sz w:val="24"/>
        </w:rPr>
        <w:t>FAC</w:t>
      </w:r>
      <w:r w:rsidR="00F005BB">
        <w:rPr>
          <w:rFonts w:ascii="Arial" w:hAnsi="Arial" w:cs="Arial"/>
          <w:sz w:val="24"/>
        </w:rPr>
        <w:t>, he states the following</w:t>
      </w:r>
      <w:r w:rsidR="006B39B4">
        <w:rPr>
          <w:rFonts w:ascii="Arial" w:hAnsi="Arial" w:cs="Arial"/>
          <w:sz w:val="24"/>
        </w:rPr>
        <w:t>,</w:t>
      </w:r>
      <w:r w:rsidR="00F005BB">
        <w:rPr>
          <w:rFonts w:ascii="Arial" w:hAnsi="Arial" w:cs="Arial"/>
          <w:sz w:val="24"/>
        </w:rPr>
        <w:t xml:space="preserve"> at </w:t>
      </w:r>
      <w:r w:rsidR="007F4D74">
        <w:rPr>
          <w:rFonts w:ascii="Arial" w:hAnsi="Arial" w:cs="Arial"/>
          <w:sz w:val="24"/>
        </w:rPr>
        <w:t>26</w:t>
      </w:r>
      <w:r w:rsidR="00F005BB">
        <w:rPr>
          <w:rFonts w:ascii="Arial" w:hAnsi="Arial" w:cs="Arial"/>
          <w:sz w:val="24"/>
        </w:rPr>
        <w:t>:</w:t>
      </w:r>
    </w:p>
    <w:p w14:paraId="6ACADB31" w14:textId="314D3BFF" w:rsidR="00F005BB" w:rsidRDefault="007F4D74" w:rsidP="007F4D74">
      <w:pPr>
        <w:pStyle w:val="ListParagraph"/>
        <w:spacing w:after="0" w:line="240" w:lineRule="auto"/>
        <w:ind w:right="720"/>
        <w:jc w:val="both"/>
        <w:outlineLvl w:val="0"/>
        <w:rPr>
          <w:rFonts w:ascii="Arial" w:hAnsi="Arial" w:cs="Arial"/>
          <w:sz w:val="24"/>
        </w:rPr>
      </w:pPr>
      <w:r w:rsidRPr="007F4D74">
        <w:rPr>
          <w:rFonts w:ascii="Arial" w:hAnsi="Arial" w:cs="Arial"/>
          <w:sz w:val="24"/>
        </w:rPr>
        <w:lastRenderedPageBreak/>
        <w:t>it is clear Manal Yousef has an interest relating to the subject of the action-her First Priority Mortgage on the Property which Plaintiff seeks to have invalidated-and, plainly, disposing of the action in her absence may, as a practical matter, impair or impede her ability to protect the interest. Therefore, Manal Yousef is a necessary party and should be joined</w:t>
      </w:r>
      <w:r>
        <w:rPr>
          <w:rFonts w:ascii="Arial" w:hAnsi="Arial" w:cs="Arial"/>
          <w:sz w:val="24"/>
        </w:rPr>
        <w:t>.</w:t>
      </w:r>
    </w:p>
    <w:p w14:paraId="7B0361CD" w14:textId="4BCBF034" w:rsidR="007F4D74" w:rsidRDefault="007F4D74" w:rsidP="007F4D74">
      <w:pPr>
        <w:pStyle w:val="ListParagraph"/>
        <w:spacing w:after="0" w:line="240" w:lineRule="auto"/>
        <w:ind w:right="720"/>
        <w:jc w:val="both"/>
        <w:outlineLvl w:val="0"/>
        <w:rPr>
          <w:rFonts w:ascii="Arial" w:hAnsi="Arial" w:cs="Arial"/>
          <w:sz w:val="24"/>
        </w:rPr>
      </w:pPr>
    </w:p>
    <w:p w14:paraId="69CAE91C" w14:textId="4D58EF25" w:rsidR="007F4D74" w:rsidRDefault="006B39B4" w:rsidP="007F4D74">
      <w:pPr>
        <w:pStyle w:val="ListParagraph"/>
        <w:spacing w:after="0" w:line="480" w:lineRule="auto"/>
        <w:ind w:left="0"/>
        <w:jc w:val="both"/>
        <w:outlineLvl w:val="0"/>
        <w:rPr>
          <w:rFonts w:ascii="Arial" w:hAnsi="Arial" w:cs="Arial"/>
          <w:sz w:val="24"/>
        </w:rPr>
      </w:pPr>
      <w:r>
        <w:rPr>
          <w:rFonts w:ascii="Arial" w:hAnsi="Arial" w:cs="Arial"/>
          <w:sz w:val="24"/>
        </w:rPr>
        <w:t>Isa</w:t>
      </w:r>
      <w:r w:rsidR="007F4D74">
        <w:rPr>
          <w:rFonts w:ascii="Arial" w:hAnsi="Arial" w:cs="Arial"/>
          <w:sz w:val="24"/>
        </w:rPr>
        <w:t xml:space="preserve">m and Jamil </w:t>
      </w:r>
      <w:r w:rsidR="00D57B45">
        <w:rPr>
          <w:rFonts w:ascii="Arial" w:hAnsi="Arial" w:cs="Arial"/>
          <w:sz w:val="24"/>
        </w:rPr>
        <w:t>expressed</w:t>
      </w:r>
      <w:r w:rsidR="001B797B">
        <w:rPr>
          <w:rFonts w:ascii="Arial" w:hAnsi="Arial" w:cs="Arial"/>
          <w:sz w:val="24"/>
        </w:rPr>
        <w:t xml:space="preserve"> the </w:t>
      </w:r>
      <w:r w:rsidR="001B797B" w:rsidRPr="00C64461">
        <w:rPr>
          <w:rFonts w:ascii="Arial" w:hAnsi="Arial" w:cs="Arial"/>
          <w:i/>
          <w:iCs/>
          <w:sz w:val="24"/>
        </w:rPr>
        <w:t>identical</w:t>
      </w:r>
      <w:r w:rsidR="001B797B">
        <w:rPr>
          <w:rFonts w:ascii="Arial" w:hAnsi="Arial" w:cs="Arial"/>
          <w:sz w:val="24"/>
        </w:rPr>
        <w:t xml:space="preserve"> thought on the subject</w:t>
      </w:r>
      <w:r w:rsidR="007F4D74">
        <w:rPr>
          <w:rFonts w:ascii="Arial" w:hAnsi="Arial" w:cs="Arial"/>
          <w:sz w:val="24"/>
        </w:rPr>
        <w:t xml:space="preserve"> in their June 14, 2017</w:t>
      </w:r>
      <w:r w:rsidR="00C64461">
        <w:rPr>
          <w:rFonts w:ascii="Arial" w:hAnsi="Arial" w:cs="Arial"/>
          <w:sz w:val="24"/>
        </w:rPr>
        <w:t>,</w:t>
      </w:r>
      <w:r w:rsidR="007F4D74">
        <w:rPr>
          <w:rFonts w:ascii="Arial" w:hAnsi="Arial" w:cs="Arial"/>
          <w:sz w:val="24"/>
        </w:rPr>
        <w:t xml:space="preserve"> </w:t>
      </w:r>
      <w:r w:rsidR="00C64461">
        <w:rPr>
          <w:rFonts w:ascii="Arial" w:hAnsi="Arial" w:cs="Arial"/>
          <w:sz w:val="24"/>
        </w:rPr>
        <w:t xml:space="preserve">48-page </w:t>
      </w:r>
      <w:r w:rsidR="001B797B">
        <w:rPr>
          <w:rFonts w:ascii="Arial" w:hAnsi="Arial" w:cs="Arial"/>
          <w:sz w:val="24"/>
        </w:rPr>
        <w:t xml:space="preserve">memorandum in support of </w:t>
      </w:r>
      <w:r>
        <w:rPr>
          <w:rFonts w:ascii="Arial" w:hAnsi="Arial" w:cs="Arial"/>
          <w:sz w:val="24"/>
        </w:rPr>
        <w:t>their</w:t>
      </w:r>
      <w:r w:rsidR="001B797B">
        <w:rPr>
          <w:rFonts w:ascii="Arial" w:hAnsi="Arial" w:cs="Arial"/>
          <w:sz w:val="24"/>
        </w:rPr>
        <w:t xml:space="preserve"> </w:t>
      </w:r>
      <w:r w:rsidR="007F4D74">
        <w:rPr>
          <w:rFonts w:ascii="Arial" w:hAnsi="Arial" w:cs="Arial"/>
          <w:sz w:val="24"/>
        </w:rPr>
        <w:t>motion to dismiss</w:t>
      </w:r>
      <w:r>
        <w:rPr>
          <w:rFonts w:ascii="Arial" w:hAnsi="Arial" w:cs="Arial"/>
          <w:sz w:val="24"/>
        </w:rPr>
        <w:t>,</w:t>
      </w:r>
      <w:r w:rsidR="007F4D74">
        <w:rPr>
          <w:rFonts w:ascii="Arial" w:hAnsi="Arial" w:cs="Arial"/>
          <w:sz w:val="24"/>
        </w:rPr>
        <w:t xml:space="preserve"> at </w:t>
      </w:r>
      <w:r w:rsidR="001B797B">
        <w:rPr>
          <w:rFonts w:ascii="Arial" w:hAnsi="Arial" w:cs="Arial"/>
          <w:sz w:val="24"/>
        </w:rPr>
        <w:t>45-46:</w:t>
      </w:r>
    </w:p>
    <w:p w14:paraId="57FFA969" w14:textId="70B7127D" w:rsidR="001B797B" w:rsidRDefault="001B797B" w:rsidP="001B797B">
      <w:pPr>
        <w:pStyle w:val="ListParagraph"/>
        <w:spacing w:after="0" w:line="240" w:lineRule="auto"/>
        <w:ind w:right="720"/>
        <w:jc w:val="both"/>
        <w:outlineLvl w:val="0"/>
        <w:rPr>
          <w:rFonts w:ascii="Arial" w:hAnsi="Arial" w:cs="Arial"/>
          <w:sz w:val="24"/>
        </w:rPr>
      </w:pPr>
      <w:r w:rsidRPr="001B797B">
        <w:rPr>
          <w:rFonts w:ascii="Arial" w:hAnsi="Arial" w:cs="Arial"/>
          <w:sz w:val="24"/>
        </w:rPr>
        <w:t>it is clear Mana! Yousef has an interest relating to the subject of the action-her First Priority Mortgage on the Property which plaintiff seeks to have invalidated-and, plainly, disposing of the action in her absence may, as a practical matter, impairs or impedes her ability to protect the interest. Therefore, Manal Yousef is a necessary party and should be joined.</w:t>
      </w:r>
    </w:p>
    <w:p w14:paraId="3A4D2A90" w14:textId="3D66B88B" w:rsidR="001B797B" w:rsidRDefault="001B797B" w:rsidP="001B797B">
      <w:pPr>
        <w:pStyle w:val="ListParagraph"/>
        <w:spacing w:after="0" w:line="240" w:lineRule="auto"/>
        <w:ind w:right="720"/>
        <w:jc w:val="both"/>
        <w:outlineLvl w:val="0"/>
        <w:rPr>
          <w:rFonts w:ascii="Arial" w:hAnsi="Arial" w:cs="Arial"/>
          <w:sz w:val="24"/>
        </w:rPr>
      </w:pPr>
    </w:p>
    <w:p w14:paraId="09E47630" w14:textId="77777777" w:rsidR="001B797B" w:rsidRDefault="001B797B" w:rsidP="001B797B">
      <w:pPr>
        <w:pStyle w:val="ListParagraph"/>
        <w:spacing w:after="0" w:line="480" w:lineRule="auto"/>
        <w:ind w:left="0"/>
        <w:jc w:val="both"/>
        <w:outlineLvl w:val="0"/>
        <w:rPr>
          <w:rFonts w:ascii="Arial" w:hAnsi="Arial" w:cs="Arial"/>
          <w:sz w:val="24"/>
        </w:rPr>
      </w:pPr>
      <w:r>
        <w:rPr>
          <w:rFonts w:ascii="Arial" w:hAnsi="Arial" w:cs="Arial"/>
          <w:sz w:val="24"/>
        </w:rPr>
        <w:t>This coincidental commonality of thought completely supports this amendment.</w:t>
      </w:r>
    </w:p>
    <w:p w14:paraId="4FA17AAB" w14:textId="77777777" w:rsidR="001B797B" w:rsidRPr="008D0218" w:rsidRDefault="001B797B" w:rsidP="001B797B">
      <w:pPr>
        <w:pStyle w:val="ListParagraph"/>
        <w:numPr>
          <w:ilvl w:val="0"/>
          <w:numId w:val="13"/>
        </w:numPr>
        <w:spacing w:after="0" w:line="480" w:lineRule="auto"/>
        <w:jc w:val="both"/>
        <w:outlineLvl w:val="0"/>
        <w:rPr>
          <w:rFonts w:ascii="Arial" w:hAnsi="Arial" w:cs="Arial"/>
          <w:b/>
          <w:bCs/>
          <w:sz w:val="24"/>
        </w:rPr>
      </w:pPr>
      <w:r w:rsidRPr="008D0218">
        <w:rPr>
          <w:rFonts w:ascii="Arial" w:hAnsi="Arial" w:cs="Arial"/>
          <w:b/>
          <w:bCs/>
          <w:sz w:val="24"/>
        </w:rPr>
        <w:t>Applicable Law</w:t>
      </w:r>
    </w:p>
    <w:p w14:paraId="6461B9FC" w14:textId="4891C477" w:rsidR="00305E10" w:rsidRDefault="00305E10" w:rsidP="00375F0B">
      <w:pPr>
        <w:pStyle w:val="ListParagraph"/>
        <w:spacing w:after="0" w:line="480" w:lineRule="auto"/>
        <w:ind w:left="0" w:firstLine="720"/>
        <w:jc w:val="both"/>
        <w:outlineLvl w:val="0"/>
        <w:rPr>
          <w:rFonts w:ascii="Arial" w:hAnsi="Arial" w:cs="Arial"/>
          <w:sz w:val="24"/>
        </w:rPr>
      </w:pPr>
      <w:r>
        <w:rPr>
          <w:rFonts w:ascii="Arial" w:hAnsi="Arial" w:cs="Arial"/>
          <w:sz w:val="24"/>
        </w:rPr>
        <w:t>Rule 15(a)(2) provides:</w:t>
      </w:r>
    </w:p>
    <w:p w14:paraId="29530CD2" w14:textId="45CC0B4B" w:rsidR="00305E10" w:rsidRPr="00305E10" w:rsidRDefault="00305E10" w:rsidP="00305E10">
      <w:pPr>
        <w:ind w:left="720" w:right="720"/>
        <w:jc w:val="both"/>
        <w:outlineLvl w:val="0"/>
        <w:rPr>
          <w:rFonts w:cs="Arial"/>
        </w:rPr>
      </w:pPr>
      <w:r w:rsidRPr="00305E10">
        <w:rPr>
          <w:rStyle w:val="ssbf"/>
          <w:rFonts w:cs="Arial"/>
          <w:b/>
          <w:bCs/>
          <w:color w:val="212121"/>
          <w:bdr w:val="none" w:sz="0" w:space="0" w:color="auto" w:frame="1"/>
        </w:rPr>
        <w:t>(a)</w:t>
      </w:r>
      <w:r w:rsidR="008365C3">
        <w:rPr>
          <w:rStyle w:val="ssbf"/>
          <w:rFonts w:cs="Arial"/>
          <w:b/>
          <w:bCs/>
          <w:color w:val="212121"/>
          <w:bdr w:val="none" w:sz="0" w:space="0" w:color="auto" w:frame="1"/>
        </w:rPr>
        <w:t xml:space="preserve"> </w:t>
      </w:r>
      <w:r w:rsidRPr="00305E10">
        <w:rPr>
          <w:rStyle w:val="ssbf"/>
          <w:rFonts w:cs="Arial"/>
          <w:b/>
          <w:bCs/>
          <w:color w:val="212121"/>
          <w:bdr w:val="none" w:sz="0" w:space="0" w:color="auto" w:frame="1"/>
        </w:rPr>
        <w:t>Amendments Before Trial.</w:t>
      </w:r>
    </w:p>
    <w:p w14:paraId="3CBFCA9F" w14:textId="030ECEF8" w:rsidR="00305E10" w:rsidRPr="00305E10" w:rsidRDefault="00305E10" w:rsidP="00305E10">
      <w:pPr>
        <w:ind w:left="720" w:right="720"/>
        <w:jc w:val="center"/>
        <w:textAlignment w:val="baseline"/>
        <w:outlineLvl w:val="0"/>
        <w:rPr>
          <w:rStyle w:val="ssparacontent"/>
          <w:rFonts w:cs="Arial"/>
          <w:bdr w:val="none" w:sz="0" w:space="0" w:color="auto" w:frame="1"/>
        </w:rPr>
      </w:pPr>
      <w:r>
        <w:rPr>
          <w:rStyle w:val="ssparacontent"/>
          <w:rFonts w:cs="Arial"/>
          <w:bdr w:val="none" w:sz="0" w:space="0" w:color="auto" w:frame="1"/>
        </w:rPr>
        <w:t>* * * *</w:t>
      </w:r>
    </w:p>
    <w:p w14:paraId="24CCFEBE" w14:textId="3FDA1317" w:rsidR="00305E10" w:rsidRDefault="00305E10" w:rsidP="008365C3">
      <w:pPr>
        <w:pStyle w:val="NormalWeb"/>
        <w:spacing w:before="0" w:beforeAutospacing="0" w:after="0" w:afterAutospacing="0"/>
        <w:ind w:left="1440" w:right="720"/>
        <w:jc w:val="both"/>
        <w:textAlignment w:val="baseline"/>
        <w:outlineLvl w:val="0"/>
        <w:rPr>
          <w:rFonts w:ascii="Arial" w:hAnsi="Arial" w:cs="Arial"/>
          <w:color w:val="000000"/>
          <w:bdr w:val="none" w:sz="0" w:space="0" w:color="auto" w:frame="1"/>
        </w:rPr>
      </w:pPr>
      <w:r w:rsidRPr="00305E10">
        <w:rPr>
          <w:rStyle w:val="ssbf"/>
          <w:rFonts w:ascii="Arial" w:hAnsi="Arial" w:cs="Arial"/>
          <w:b/>
          <w:bCs/>
          <w:color w:val="212121"/>
          <w:bdr w:val="none" w:sz="0" w:space="0" w:color="auto" w:frame="1"/>
        </w:rPr>
        <w:t>(2)</w:t>
      </w:r>
      <w:r w:rsidR="008365C3">
        <w:rPr>
          <w:rStyle w:val="ssbf"/>
          <w:rFonts w:ascii="Arial" w:hAnsi="Arial" w:cs="Arial"/>
          <w:b/>
          <w:bCs/>
          <w:color w:val="212121"/>
          <w:bdr w:val="none" w:sz="0" w:space="0" w:color="auto" w:frame="1"/>
        </w:rPr>
        <w:t xml:space="preserve"> </w:t>
      </w:r>
      <w:r w:rsidRPr="00305E10">
        <w:rPr>
          <w:rStyle w:val="ssbf"/>
          <w:rFonts w:ascii="Arial" w:hAnsi="Arial" w:cs="Arial"/>
          <w:b/>
          <w:bCs/>
          <w:i/>
          <w:iCs/>
          <w:color w:val="212121"/>
          <w:bdr w:val="none" w:sz="0" w:space="0" w:color="auto" w:frame="1"/>
        </w:rPr>
        <w:t>Other Amendments.</w:t>
      </w:r>
      <w:r w:rsidR="00035F18">
        <w:rPr>
          <w:rStyle w:val="ssbf"/>
          <w:rFonts w:ascii="Arial" w:hAnsi="Arial" w:cs="Arial"/>
          <w:b/>
          <w:bCs/>
          <w:i/>
          <w:iCs/>
          <w:color w:val="212121"/>
          <w:bdr w:val="none" w:sz="0" w:space="0" w:color="auto" w:frame="1"/>
        </w:rPr>
        <w:t xml:space="preserve"> </w:t>
      </w:r>
      <w:r w:rsidRPr="00305E10">
        <w:rPr>
          <w:rFonts w:ascii="Arial" w:hAnsi="Arial" w:cs="Arial"/>
          <w:color w:val="000000"/>
          <w:bdr w:val="none" w:sz="0" w:space="0" w:color="auto" w:frame="1"/>
        </w:rPr>
        <w:t>In all other cases, a party may amend its pleading only with the opposing party's written consent</w:t>
      </w:r>
      <w:r w:rsidR="00035F18">
        <w:rPr>
          <w:rFonts w:ascii="Arial" w:hAnsi="Arial" w:cs="Arial"/>
          <w:color w:val="000000"/>
          <w:bdr w:val="none" w:sz="0" w:space="0" w:color="auto" w:frame="1"/>
        </w:rPr>
        <w:t>[</w:t>
      </w:r>
      <w:r w:rsidR="00035F18">
        <w:rPr>
          <w:rStyle w:val="FootnoteReference"/>
          <w:rFonts w:ascii="Arial" w:hAnsi="Arial" w:cs="Arial"/>
          <w:color w:val="000000"/>
          <w:bdr w:val="none" w:sz="0" w:space="0" w:color="auto" w:frame="1"/>
        </w:rPr>
        <w:footnoteReference w:id="6"/>
      </w:r>
      <w:r w:rsidRPr="00305E10">
        <w:rPr>
          <w:rFonts w:ascii="Arial" w:hAnsi="Arial" w:cs="Arial"/>
          <w:color w:val="000000"/>
          <w:bdr w:val="none" w:sz="0" w:space="0" w:color="auto" w:frame="1"/>
        </w:rPr>
        <w:t xml:space="preserve"> or the court's leave. The court should freely give leave when justice so requires.</w:t>
      </w:r>
    </w:p>
    <w:p w14:paraId="66511890" w14:textId="77777777" w:rsidR="00035F18" w:rsidRPr="00305E10" w:rsidRDefault="00035F18" w:rsidP="00305E10">
      <w:pPr>
        <w:pStyle w:val="NormalWeb"/>
        <w:spacing w:before="0" w:beforeAutospacing="0" w:after="0" w:afterAutospacing="0"/>
        <w:ind w:left="720" w:right="720"/>
        <w:jc w:val="both"/>
        <w:textAlignment w:val="baseline"/>
        <w:outlineLvl w:val="0"/>
        <w:rPr>
          <w:rFonts w:ascii="Arial" w:hAnsi="Arial" w:cs="Arial"/>
        </w:rPr>
      </w:pPr>
    </w:p>
    <w:p w14:paraId="75F515CB" w14:textId="41DA2BE5" w:rsidR="0078571E" w:rsidRDefault="002E058D" w:rsidP="002E058D">
      <w:pPr>
        <w:pStyle w:val="FootnoteText"/>
        <w:spacing w:line="480" w:lineRule="auto"/>
        <w:ind w:firstLine="720"/>
        <w:jc w:val="both"/>
        <w:outlineLvl w:val="0"/>
        <w:rPr>
          <w:rFonts w:ascii="Arial" w:hAnsi="Arial" w:cs="Arial"/>
          <w:sz w:val="24"/>
        </w:rPr>
      </w:pPr>
      <w:r>
        <w:rPr>
          <w:rFonts w:ascii="Arial" w:hAnsi="Arial" w:cs="Arial"/>
          <w:color w:val="000000"/>
          <w:sz w:val="24"/>
        </w:rPr>
        <w:t>Despite the provision in the Rule that “</w:t>
      </w:r>
      <w:r>
        <w:rPr>
          <w:rFonts w:ascii="Arial" w:hAnsi="Arial" w:cs="Arial"/>
          <w:color w:val="000000"/>
          <w:sz w:val="24"/>
          <w:bdr w:val="none" w:sz="0" w:space="0" w:color="auto" w:frame="1"/>
        </w:rPr>
        <w:t>[t]</w:t>
      </w:r>
      <w:r w:rsidRPr="00305E10">
        <w:rPr>
          <w:rFonts w:ascii="Arial" w:hAnsi="Arial" w:cs="Arial"/>
          <w:color w:val="000000"/>
          <w:sz w:val="24"/>
          <w:bdr w:val="none" w:sz="0" w:space="0" w:color="auto" w:frame="1"/>
        </w:rPr>
        <w:t>he court should freely give leave when justice so requires</w:t>
      </w:r>
      <w:r>
        <w:rPr>
          <w:rFonts w:ascii="Arial" w:hAnsi="Arial" w:cs="Arial"/>
          <w:color w:val="000000"/>
          <w:sz w:val="24"/>
          <w:bdr w:val="none" w:sz="0" w:space="0" w:color="auto" w:frame="1"/>
        </w:rPr>
        <w:t>,”</w:t>
      </w:r>
      <w:r w:rsidRPr="00ED6437">
        <w:rPr>
          <w:rFonts w:ascii="Arial" w:hAnsi="Arial" w:cs="Arial"/>
          <w:color w:val="000000"/>
          <w:sz w:val="24"/>
        </w:rPr>
        <w:t xml:space="preserve"> </w:t>
      </w:r>
      <w:r>
        <w:rPr>
          <w:rFonts w:ascii="Arial" w:hAnsi="Arial" w:cs="Arial"/>
          <w:color w:val="000000"/>
          <w:sz w:val="24"/>
        </w:rPr>
        <w:t>a</w:t>
      </w:r>
      <w:r w:rsidR="00ED6437" w:rsidRPr="00ED6437">
        <w:rPr>
          <w:rFonts w:ascii="Arial" w:hAnsi="Arial" w:cs="Arial"/>
          <w:color w:val="000000"/>
          <w:sz w:val="24"/>
        </w:rPr>
        <w:t>mendments are within the sound discretion of the Superior Court</w:t>
      </w:r>
      <w:r>
        <w:rPr>
          <w:rStyle w:val="FootnoteReference"/>
          <w:rFonts w:ascii="Arial" w:hAnsi="Arial" w:cs="Arial"/>
          <w:color w:val="000000"/>
          <w:sz w:val="24"/>
        </w:rPr>
        <w:footnoteReference w:id="7"/>
      </w:r>
      <w:r w:rsidR="008365C3">
        <w:rPr>
          <w:rFonts w:ascii="Arial" w:hAnsi="Arial" w:cs="Arial"/>
          <w:color w:val="000000"/>
          <w:sz w:val="24"/>
        </w:rPr>
        <w:t>—</w:t>
      </w:r>
      <w:r w:rsidR="004B3ACD">
        <w:rPr>
          <w:rFonts w:ascii="Arial" w:hAnsi="Arial" w:cs="Arial"/>
          <w:color w:val="000000"/>
          <w:sz w:val="24"/>
        </w:rPr>
        <w:t xml:space="preserve">and, </w:t>
      </w:r>
      <w:r>
        <w:rPr>
          <w:rFonts w:ascii="Arial" w:hAnsi="Arial" w:cs="Arial"/>
          <w:color w:val="000000"/>
          <w:sz w:val="24"/>
        </w:rPr>
        <w:t>a</w:t>
      </w:r>
      <w:r w:rsidR="00ED6437" w:rsidRPr="00ED6437">
        <w:rPr>
          <w:rFonts w:ascii="Arial" w:hAnsi="Arial" w:cs="Arial"/>
          <w:color w:val="000000"/>
          <w:sz w:val="24"/>
        </w:rPr>
        <w:t xml:space="preserve">s a result, the Superior Court may deny a request to amend </w:t>
      </w:r>
      <w:r w:rsidR="00ED6437" w:rsidRPr="002E058D">
        <w:rPr>
          <w:rFonts w:ascii="Arial" w:hAnsi="Arial" w:cs="Arial"/>
          <w:color w:val="000000"/>
          <w:sz w:val="24"/>
        </w:rPr>
        <w:t>so long as it articulates a</w:t>
      </w:r>
      <w:r w:rsidR="00ED6437" w:rsidRPr="00ED6437">
        <w:rPr>
          <w:rFonts w:ascii="Arial" w:hAnsi="Arial" w:cs="Arial"/>
          <w:i/>
          <w:iCs/>
          <w:color w:val="000000"/>
          <w:sz w:val="24"/>
        </w:rPr>
        <w:t xml:space="preserve"> </w:t>
      </w:r>
      <w:r w:rsidR="00ED6437" w:rsidRPr="00ED6437">
        <w:rPr>
          <w:rFonts w:ascii="Arial" w:hAnsi="Arial" w:cs="Arial"/>
          <w:color w:val="000000"/>
          <w:sz w:val="24"/>
        </w:rPr>
        <w:t>sound justification</w:t>
      </w:r>
      <w:r>
        <w:rPr>
          <w:rFonts w:ascii="Arial" w:hAnsi="Arial" w:cs="Arial"/>
          <w:color w:val="000000"/>
          <w:sz w:val="24"/>
        </w:rPr>
        <w:t>—a “justifying reason”</w:t>
      </w:r>
      <w:r w:rsidR="00ED6437" w:rsidRPr="00ED6437">
        <w:rPr>
          <w:rFonts w:ascii="Arial" w:hAnsi="Arial" w:cs="Arial"/>
          <w:color w:val="000000"/>
          <w:sz w:val="24"/>
        </w:rPr>
        <w:t>. </w:t>
      </w:r>
      <w:r w:rsidR="00ED6437" w:rsidRPr="00ED6437">
        <w:rPr>
          <w:rStyle w:val="ssit"/>
          <w:rFonts w:ascii="Arial" w:hAnsi="Arial" w:cs="Arial"/>
          <w:i/>
          <w:iCs/>
          <w:color w:val="000000"/>
          <w:sz w:val="24"/>
          <w:bdr w:val="none" w:sz="0" w:space="0" w:color="auto" w:frame="1"/>
        </w:rPr>
        <w:t>See Reynolds v. Rohn</w:t>
      </w:r>
      <w:r w:rsidR="00ED6437" w:rsidRPr="00ED6437">
        <w:rPr>
          <w:rFonts w:ascii="Arial" w:hAnsi="Arial" w:cs="Arial"/>
          <w:color w:val="000000"/>
          <w:sz w:val="24"/>
        </w:rPr>
        <w:t>, 70 V.I. 887, 899-9002019 V.I. Supreme LEXIS 15 (V.I. 2019); </w:t>
      </w:r>
      <w:r w:rsidR="00ED6437" w:rsidRPr="00ED6437">
        <w:rPr>
          <w:rStyle w:val="ssit"/>
          <w:rFonts w:ascii="Arial" w:hAnsi="Arial" w:cs="Arial"/>
          <w:i/>
          <w:iCs/>
          <w:color w:val="000000"/>
          <w:sz w:val="24"/>
          <w:bdr w:val="none" w:sz="0" w:space="0" w:color="auto" w:frame="1"/>
        </w:rPr>
        <w:t>see also Anthony v. Indep. Ins. Advisors, Inc.</w:t>
      </w:r>
      <w:r w:rsidR="00ED6437" w:rsidRPr="00ED6437">
        <w:rPr>
          <w:rFonts w:ascii="Arial" w:hAnsi="Arial" w:cs="Arial"/>
          <w:color w:val="000000"/>
          <w:sz w:val="24"/>
        </w:rPr>
        <w:t>, 56 V.I. 516, 534 (V.I. 2012).</w:t>
      </w:r>
      <w:r w:rsidR="00D57B45">
        <w:rPr>
          <w:rFonts w:ascii="Arial" w:hAnsi="Arial" w:cs="Arial"/>
          <w:color w:val="000000"/>
          <w:sz w:val="24"/>
        </w:rPr>
        <w:t xml:space="preserve"> </w:t>
      </w:r>
      <w:r w:rsidR="0078571E">
        <w:rPr>
          <w:rFonts w:ascii="Arial" w:hAnsi="Arial" w:cs="Arial"/>
          <w:sz w:val="24"/>
        </w:rPr>
        <w:t xml:space="preserve">The V.I. Supreme Court has addressed </w:t>
      </w:r>
      <w:r w:rsidR="0078571E">
        <w:rPr>
          <w:rFonts w:ascii="Arial" w:hAnsi="Arial" w:cs="Arial"/>
          <w:sz w:val="24"/>
        </w:rPr>
        <w:lastRenderedPageBreak/>
        <w:t xml:space="preserve">the </w:t>
      </w:r>
      <w:r w:rsidR="00035F18">
        <w:rPr>
          <w:rFonts w:ascii="Arial" w:hAnsi="Arial" w:cs="Arial"/>
          <w:sz w:val="24"/>
        </w:rPr>
        <w:t>meaning of the phrase</w:t>
      </w:r>
      <w:r w:rsidR="00ED6437">
        <w:rPr>
          <w:rFonts w:ascii="Arial" w:hAnsi="Arial" w:cs="Arial"/>
          <w:sz w:val="24"/>
        </w:rPr>
        <w:t>s</w:t>
      </w:r>
      <w:r w:rsidR="00035F18">
        <w:rPr>
          <w:rFonts w:ascii="Arial" w:hAnsi="Arial" w:cs="Arial"/>
          <w:sz w:val="24"/>
        </w:rPr>
        <w:t xml:space="preserve"> “should freely give leave” </w:t>
      </w:r>
      <w:r w:rsidR="00ED6437">
        <w:rPr>
          <w:rFonts w:ascii="Arial" w:hAnsi="Arial" w:cs="Arial"/>
          <w:sz w:val="24"/>
        </w:rPr>
        <w:t xml:space="preserve">and “sound justification” </w:t>
      </w:r>
      <w:r w:rsidR="0078571E">
        <w:rPr>
          <w:rFonts w:ascii="Arial" w:hAnsi="Arial" w:cs="Arial"/>
          <w:sz w:val="24"/>
        </w:rPr>
        <w:t xml:space="preserve">in </w:t>
      </w:r>
      <w:r w:rsidR="006B39B4">
        <w:rPr>
          <w:rFonts w:ascii="Arial" w:hAnsi="Arial" w:cs="Arial"/>
          <w:sz w:val="24"/>
        </w:rPr>
        <w:t>two recent</w:t>
      </w:r>
      <w:r w:rsidR="0078571E">
        <w:rPr>
          <w:rFonts w:ascii="Arial" w:hAnsi="Arial" w:cs="Arial"/>
          <w:sz w:val="24"/>
        </w:rPr>
        <w:t xml:space="preserve"> decisions. </w:t>
      </w:r>
      <w:r w:rsidR="00F00238">
        <w:rPr>
          <w:rFonts w:ascii="Arial" w:hAnsi="Arial" w:cs="Arial"/>
          <w:sz w:val="24"/>
        </w:rPr>
        <w:t>In 2019, i</w:t>
      </w:r>
      <w:r w:rsidR="0078571E">
        <w:rPr>
          <w:rFonts w:ascii="Arial" w:hAnsi="Arial" w:cs="Arial"/>
          <w:sz w:val="24"/>
        </w:rPr>
        <w:t>t affirmed the denial of a</w:t>
      </w:r>
      <w:r w:rsidR="00FA27BF">
        <w:rPr>
          <w:rFonts w:ascii="Arial" w:hAnsi="Arial" w:cs="Arial"/>
          <w:sz w:val="24"/>
        </w:rPr>
        <w:t xml:space="preserve"> </w:t>
      </w:r>
      <w:r w:rsidR="0078571E">
        <w:rPr>
          <w:rFonts w:ascii="Arial" w:hAnsi="Arial" w:cs="Arial"/>
          <w:sz w:val="24"/>
        </w:rPr>
        <w:t>motion to amend for futility.</w:t>
      </w:r>
      <w:r w:rsidR="00ED6437" w:rsidRPr="00ED6437">
        <w:rPr>
          <w:rFonts w:cs="Arial"/>
          <w:i/>
          <w:iCs/>
          <w:bdr w:val="none" w:sz="0" w:space="0" w:color="auto" w:frame="1"/>
        </w:rPr>
        <w:t xml:space="preserve"> </w:t>
      </w:r>
      <w:r w:rsidR="00ED6437" w:rsidRPr="0078571E">
        <w:rPr>
          <w:rFonts w:ascii="Arial" w:hAnsi="Arial" w:cs="Arial"/>
          <w:i/>
          <w:iCs/>
          <w:sz w:val="24"/>
          <w:bdr w:val="none" w:sz="0" w:space="0" w:color="auto" w:frame="1"/>
        </w:rPr>
        <w:t>Basic Servs., Inc. v. Gov't of the V.I.,</w:t>
      </w:r>
      <w:r w:rsidR="00ED6437" w:rsidRPr="0078571E">
        <w:rPr>
          <w:rFonts w:ascii="Arial" w:hAnsi="Arial" w:cs="Arial"/>
          <w:sz w:val="24"/>
          <w:bdr w:val="none" w:sz="0" w:space="0" w:color="auto" w:frame="1"/>
        </w:rPr>
        <w:t xml:space="preserve"> 71 V.I. 652, 667 (2019)</w:t>
      </w:r>
      <w:r w:rsidR="00ED6437" w:rsidRPr="0078571E">
        <w:rPr>
          <w:rFonts w:ascii="Arial" w:hAnsi="Arial" w:cs="Arial"/>
          <w:sz w:val="24"/>
        </w:rPr>
        <w:t>(“</w:t>
      </w:r>
      <w:r w:rsidR="00ED6437" w:rsidRPr="0078571E">
        <w:rPr>
          <w:rFonts w:ascii="Arial" w:hAnsi="Arial" w:cs="Arial"/>
          <w:color w:val="000000"/>
          <w:sz w:val="24"/>
        </w:rPr>
        <w:t>the Superior Court's futility justification was sound.”)</w:t>
      </w:r>
      <w:r w:rsidR="00ED6437">
        <w:rPr>
          <w:rFonts w:ascii="Arial" w:hAnsi="Arial" w:cs="Arial"/>
          <w:color w:val="000000"/>
          <w:sz w:val="24"/>
        </w:rPr>
        <w:t xml:space="preserve"> </w:t>
      </w:r>
      <w:r w:rsidR="00F00238">
        <w:rPr>
          <w:rFonts w:ascii="Arial" w:hAnsi="Arial" w:cs="Arial"/>
          <w:sz w:val="24"/>
        </w:rPr>
        <w:t>More recently, in 2021, t</w:t>
      </w:r>
      <w:r w:rsidR="0078571E">
        <w:rPr>
          <w:rFonts w:ascii="Arial" w:hAnsi="Arial" w:cs="Arial"/>
          <w:sz w:val="24"/>
        </w:rPr>
        <w:t>he Court addresse</w:t>
      </w:r>
      <w:r w:rsidR="00F00238">
        <w:rPr>
          <w:rFonts w:ascii="Arial" w:hAnsi="Arial" w:cs="Arial"/>
          <w:sz w:val="24"/>
        </w:rPr>
        <w:t>d</w:t>
      </w:r>
      <w:r w:rsidR="0078571E">
        <w:rPr>
          <w:rFonts w:ascii="Arial" w:hAnsi="Arial" w:cs="Arial"/>
          <w:sz w:val="24"/>
        </w:rPr>
        <w:t xml:space="preserve"> the </w:t>
      </w:r>
      <w:r w:rsidR="008D0218">
        <w:rPr>
          <w:rFonts w:ascii="Arial" w:hAnsi="Arial" w:cs="Arial"/>
          <w:sz w:val="24"/>
        </w:rPr>
        <w:t xml:space="preserve">denial of </w:t>
      </w:r>
      <w:r w:rsidR="00D57B45">
        <w:rPr>
          <w:rFonts w:ascii="Arial" w:hAnsi="Arial" w:cs="Arial"/>
          <w:sz w:val="24"/>
        </w:rPr>
        <w:t xml:space="preserve">a proposed </w:t>
      </w:r>
      <w:r w:rsidR="008D0218">
        <w:rPr>
          <w:rFonts w:ascii="Arial" w:hAnsi="Arial" w:cs="Arial"/>
          <w:sz w:val="24"/>
        </w:rPr>
        <w:t xml:space="preserve">amendment </w:t>
      </w:r>
      <w:r w:rsidR="00D57B45">
        <w:rPr>
          <w:rFonts w:ascii="Arial" w:hAnsi="Arial" w:cs="Arial"/>
          <w:sz w:val="24"/>
        </w:rPr>
        <w:t>due to</w:t>
      </w:r>
      <w:r w:rsidR="008D0218">
        <w:rPr>
          <w:rFonts w:ascii="Arial" w:hAnsi="Arial" w:cs="Arial"/>
          <w:sz w:val="24"/>
        </w:rPr>
        <w:t xml:space="preserve"> the movant’s </w:t>
      </w:r>
      <w:r w:rsidR="00ED6437">
        <w:rPr>
          <w:rFonts w:ascii="Arial" w:hAnsi="Arial" w:cs="Arial"/>
          <w:sz w:val="24"/>
        </w:rPr>
        <w:t xml:space="preserve">alleged </w:t>
      </w:r>
      <w:r w:rsidR="0078571E">
        <w:rPr>
          <w:rFonts w:ascii="Arial" w:hAnsi="Arial" w:cs="Arial"/>
          <w:sz w:val="24"/>
        </w:rPr>
        <w:t>delay</w:t>
      </w:r>
      <w:r w:rsidR="008D0218">
        <w:rPr>
          <w:rFonts w:ascii="Arial" w:hAnsi="Arial" w:cs="Arial"/>
          <w:sz w:val="24"/>
        </w:rPr>
        <w:t xml:space="preserve"> in bringing the motion</w:t>
      </w:r>
      <w:r w:rsidR="00FA27BF">
        <w:rPr>
          <w:rFonts w:ascii="Arial" w:hAnsi="Arial" w:cs="Arial"/>
          <w:sz w:val="24"/>
        </w:rPr>
        <w:t>—reversing the lower court</w:t>
      </w:r>
      <w:r w:rsidR="0078571E">
        <w:rPr>
          <w:rFonts w:ascii="Arial" w:hAnsi="Arial" w:cs="Arial"/>
          <w:sz w:val="24"/>
        </w:rPr>
        <w:t xml:space="preserve"> </w:t>
      </w:r>
      <w:r w:rsidR="00ED6437">
        <w:rPr>
          <w:rFonts w:ascii="Arial" w:hAnsi="Arial" w:cs="Arial"/>
          <w:sz w:val="24"/>
        </w:rPr>
        <w:t>regarding a fourteen</w:t>
      </w:r>
      <w:r w:rsidR="004B3ACD">
        <w:rPr>
          <w:rFonts w:ascii="Arial" w:hAnsi="Arial" w:cs="Arial"/>
          <w:sz w:val="24"/>
        </w:rPr>
        <w:t>-</w:t>
      </w:r>
      <w:r w:rsidR="00ED6437">
        <w:rPr>
          <w:rFonts w:ascii="Arial" w:hAnsi="Arial" w:cs="Arial"/>
          <w:sz w:val="24"/>
        </w:rPr>
        <w:t>year delay</w:t>
      </w:r>
      <w:r w:rsidR="008365C3">
        <w:rPr>
          <w:rFonts w:ascii="Arial" w:hAnsi="Arial" w:cs="Arial"/>
          <w:sz w:val="24"/>
        </w:rPr>
        <w:t>—</w:t>
      </w:r>
      <w:r w:rsidR="00ED6437">
        <w:rPr>
          <w:rFonts w:ascii="Arial" w:hAnsi="Arial" w:cs="Arial"/>
          <w:sz w:val="24"/>
        </w:rPr>
        <w:t>after</w:t>
      </w:r>
      <w:r w:rsidR="0078571E">
        <w:rPr>
          <w:rFonts w:ascii="Arial" w:hAnsi="Arial" w:cs="Arial"/>
          <w:sz w:val="24"/>
        </w:rPr>
        <w:t xml:space="preserve"> an extensive analysis</w:t>
      </w:r>
      <w:r w:rsidR="00F00238">
        <w:rPr>
          <w:rFonts w:ascii="Arial" w:hAnsi="Arial" w:cs="Arial"/>
          <w:sz w:val="24"/>
        </w:rPr>
        <w:t xml:space="preserve">. </w:t>
      </w:r>
      <w:r w:rsidR="0078571E" w:rsidRPr="00375F0B">
        <w:rPr>
          <w:rFonts w:ascii="Arial" w:hAnsi="Arial" w:cs="Arial"/>
          <w:i/>
          <w:iCs/>
          <w:sz w:val="24"/>
          <w:bdr w:val="none" w:sz="0" w:space="0" w:color="auto" w:frame="1"/>
        </w:rPr>
        <w:t>Davis v. UHP Projects, Inc.</w:t>
      </w:r>
      <w:r w:rsidR="0078571E" w:rsidRPr="0078571E">
        <w:rPr>
          <w:rFonts w:ascii="Arial" w:hAnsi="Arial" w:cs="Arial"/>
          <w:sz w:val="24"/>
          <w:bdr w:val="none" w:sz="0" w:space="0" w:color="auto" w:frame="1"/>
        </w:rPr>
        <w:t>, 74 V.I. 525, 537-38 (2021)</w:t>
      </w:r>
      <w:r w:rsidR="00D57B45">
        <w:rPr>
          <w:rFonts w:ascii="Arial" w:hAnsi="Arial" w:cs="Arial"/>
          <w:sz w:val="24"/>
          <w:bdr w:val="none" w:sz="0" w:space="0" w:color="auto" w:frame="1"/>
        </w:rPr>
        <w:t>:</w:t>
      </w:r>
    </w:p>
    <w:p w14:paraId="0409B997" w14:textId="3150E467" w:rsidR="00035F18" w:rsidRDefault="00035F18" w:rsidP="00035F18">
      <w:pPr>
        <w:pStyle w:val="NormalWeb"/>
        <w:spacing w:before="0" w:beforeAutospacing="0" w:after="0" w:afterAutospacing="0"/>
        <w:ind w:left="720" w:right="720"/>
        <w:jc w:val="both"/>
        <w:textAlignment w:val="baseline"/>
        <w:outlineLvl w:val="0"/>
        <w:rPr>
          <w:rFonts w:ascii="Arial" w:hAnsi="Arial" w:cs="Arial"/>
          <w:color w:val="000000"/>
        </w:rPr>
      </w:pPr>
      <w:r w:rsidRPr="00035F18">
        <w:rPr>
          <w:rFonts w:ascii="Arial" w:hAnsi="Arial" w:cs="Arial"/>
          <w:color w:val="000000"/>
        </w:rPr>
        <w:t>the Superior Court determined “that an amendment would require additional discovery because the lack of prior legal notice of the negligence claim means [that UHP Projects] may not have utilized the discovery process to its full potential,” and further noted that “the Motion comes one year after the Court decided to disregard the ill-formed negligence claim.” (J.A. 35.)</w:t>
      </w:r>
    </w:p>
    <w:p w14:paraId="7BD8676C" w14:textId="316D9E88" w:rsidR="0078571E" w:rsidRPr="0078571E" w:rsidRDefault="00D57B45" w:rsidP="00035F18">
      <w:pPr>
        <w:pStyle w:val="NormalWeb"/>
        <w:spacing w:before="0" w:beforeAutospacing="0" w:after="0" w:afterAutospacing="0"/>
        <w:ind w:left="720" w:right="720"/>
        <w:jc w:val="both"/>
        <w:textAlignment w:val="baseline"/>
        <w:outlineLvl w:val="0"/>
        <w:rPr>
          <w:rFonts w:ascii="Arial" w:hAnsi="Arial" w:cs="Arial"/>
          <w:color w:val="000000"/>
        </w:rPr>
      </w:pPr>
      <w:r>
        <w:rPr>
          <w:rStyle w:val="ssrfcpassagedeactivated"/>
          <w:rFonts w:ascii="Arial" w:hAnsi="Arial" w:cs="Arial"/>
          <w:color w:val="000000"/>
          <w:bdr w:val="none" w:sz="0" w:space="0" w:color="auto" w:frame="1"/>
        </w:rPr>
        <w:t xml:space="preserve">     </w:t>
      </w:r>
      <w:r w:rsidR="0078571E" w:rsidRPr="0078571E">
        <w:rPr>
          <w:rStyle w:val="ssrfcpassagedeactivated"/>
          <w:rFonts w:ascii="Arial" w:hAnsi="Arial" w:cs="Arial"/>
          <w:color w:val="000000"/>
          <w:bdr w:val="none" w:sz="0" w:space="0" w:color="auto" w:frame="1"/>
        </w:rPr>
        <w:t>We conclude that the Superior Court abused its discretion when it denied the </w:t>
      </w:r>
      <w:r w:rsidR="0078571E" w:rsidRPr="0078571E">
        <w:rPr>
          <w:rStyle w:val="sh1335978773"/>
          <w:rFonts w:ascii="Arial" w:hAnsi="Arial" w:cs="Arial"/>
          <w:color w:val="000000"/>
          <w:bdr w:val="none" w:sz="0" w:space="0" w:color="auto" w:frame="1"/>
        </w:rPr>
        <w:t>motion to amend</w:t>
      </w:r>
      <w:r w:rsidR="0078571E" w:rsidRPr="0078571E">
        <w:rPr>
          <w:rStyle w:val="ssrfcpassagedeactivated"/>
          <w:rFonts w:ascii="Arial" w:hAnsi="Arial" w:cs="Arial"/>
          <w:color w:val="000000"/>
          <w:bdr w:val="none" w:sz="0" w:space="0" w:color="auto" w:frame="1"/>
        </w:rPr>
        <w:t>. This Court has characterized prejudice to the opposing party or the trial court as “the most important factor in determining whether leave to amend should be freely given,” and has expressly held that “</w:t>
      </w:r>
      <w:r w:rsidR="0078571E" w:rsidRPr="00375F0B">
        <w:rPr>
          <w:rStyle w:val="ssrfcpassagedeactivated"/>
          <w:rFonts w:ascii="Arial" w:hAnsi="Arial" w:cs="Arial"/>
          <w:b/>
          <w:bCs/>
          <w:color w:val="000000"/>
          <w:bdr w:val="none" w:sz="0" w:space="0" w:color="auto" w:frame="1"/>
        </w:rPr>
        <w:t>passage of time, without more, does not require that a </w:t>
      </w:r>
      <w:r w:rsidR="0078571E" w:rsidRPr="00375F0B">
        <w:rPr>
          <w:rStyle w:val="sh1335978773"/>
          <w:rFonts w:ascii="Arial" w:hAnsi="Arial" w:cs="Arial"/>
          <w:b/>
          <w:bCs/>
          <w:color w:val="000000"/>
          <w:bdr w:val="none" w:sz="0" w:space="0" w:color="auto" w:frame="1"/>
        </w:rPr>
        <w:t>motion to amend</w:t>
      </w:r>
      <w:r w:rsidR="0078571E" w:rsidRPr="00375F0B">
        <w:rPr>
          <w:rStyle w:val="ssrfcpassagedeactivated"/>
          <w:rFonts w:ascii="Arial" w:hAnsi="Arial" w:cs="Arial"/>
          <w:b/>
          <w:bCs/>
          <w:color w:val="000000"/>
          <w:bdr w:val="none" w:sz="0" w:space="0" w:color="auto" w:frame="1"/>
        </w:rPr>
        <w:t> a complaint be denied</w:t>
      </w:r>
      <w:r w:rsidR="0078571E" w:rsidRPr="0078571E">
        <w:rPr>
          <w:rStyle w:val="ssrfcpassagedeactivated"/>
          <w:rFonts w:ascii="Arial" w:hAnsi="Arial" w:cs="Arial"/>
          <w:color w:val="000000"/>
          <w:bdr w:val="none" w:sz="0" w:space="0" w:color="auto" w:frame="1"/>
        </w:rPr>
        <w:t>.” </w:t>
      </w:r>
      <w:r w:rsidR="0078571E" w:rsidRPr="0078571E">
        <w:rPr>
          <w:rStyle w:val="ssit"/>
          <w:rFonts w:ascii="Arial" w:hAnsi="Arial" w:cs="Arial"/>
          <w:i/>
          <w:iCs/>
          <w:color w:val="000000"/>
          <w:bdr w:val="none" w:sz="0" w:space="0" w:color="auto" w:frame="1"/>
        </w:rPr>
        <w:t>Toussaint</w:t>
      </w:r>
      <w:r w:rsidR="0078571E" w:rsidRPr="0078571E">
        <w:rPr>
          <w:rStyle w:val="ssrfcpassagedeactivated"/>
          <w:rFonts w:ascii="Arial" w:hAnsi="Arial" w:cs="Arial"/>
          <w:color w:val="000000"/>
          <w:bdr w:val="none" w:sz="0" w:space="0" w:color="auto" w:frame="1"/>
        </w:rPr>
        <w:t>, 67 V.I. at 949-50;</w:t>
      </w:r>
      <w:r w:rsidR="001714E4">
        <w:rPr>
          <w:rStyle w:val="ssrfcpassagedeactivated"/>
          <w:rFonts w:ascii="Arial" w:hAnsi="Arial" w:cs="Arial"/>
          <w:color w:val="000000"/>
          <w:bdr w:val="none" w:sz="0" w:space="0" w:color="auto" w:frame="1"/>
        </w:rPr>
        <w:t>[</w:t>
      </w:r>
      <w:r w:rsidR="001714E4">
        <w:rPr>
          <w:rStyle w:val="FootnoteReference"/>
          <w:rFonts w:ascii="Arial" w:hAnsi="Arial" w:cs="Arial"/>
          <w:color w:val="000000"/>
          <w:bdr w:val="none" w:sz="0" w:space="0" w:color="auto" w:frame="1"/>
        </w:rPr>
        <w:footnoteReference w:id="8"/>
      </w:r>
      <w:r w:rsidR="001714E4">
        <w:rPr>
          <w:rStyle w:val="ssrfcpassagedeactivated"/>
          <w:rFonts w:ascii="Arial" w:hAnsi="Arial" w:cs="Arial"/>
          <w:color w:val="000000"/>
          <w:bdr w:val="none" w:sz="0" w:space="0" w:color="auto" w:frame="1"/>
        </w:rPr>
        <w:t>]</w:t>
      </w:r>
      <w:r w:rsidR="0078571E" w:rsidRPr="0078571E">
        <w:rPr>
          <w:rStyle w:val="ssrfcpassagedeactivated"/>
          <w:rFonts w:ascii="Arial" w:hAnsi="Arial" w:cs="Arial"/>
          <w:color w:val="000000"/>
          <w:bdr w:val="none" w:sz="0" w:space="0" w:color="auto" w:frame="1"/>
        </w:rPr>
        <w:t> </w:t>
      </w:r>
      <w:r w:rsidR="0078571E" w:rsidRPr="0078571E">
        <w:rPr>
          <w:rStyle w:val="ssit"/>
          <w:rFonts w:ascii="Arial" w:hAnsi="Arial" w:cs="Arial"/>
          <w:i/>
          <w:iCs/>
          <w:color w:val="000000"/>
          <w:bdr w:val="none" w:sz="0" w:space="0" w:color="auto" w:frame="1"/>
        </w:rPr>
        <w:t>see also Stouffer v. Commonwealth</w:t>
      </w:r>
      <w:r w:rsidR="0078571E" w:rsidRPr="0078571E">
        <w:rPr>
          <w:rStyle w:val="ssrfcpassagedeactivated"/>
          <w:rFonts w:ascii="Arial" w:hAnsi="Arial" w:cs="Arial"/>
          <w:color w:val="000000"/>
          <w:bdr w:val="none" w:sz="0" w:space="0" w:color="auto" w:frame="1"/>
        </w:rPr>
        <w:t>, 127 Pa. Commw. 610, 562 A.2d 922, 923 (1989) (“[A] trial court's refusal to allow amendment solely on the basis of unreasonable delay and nothing more is an abuse of discretion.”).</w:t>
      </w:r>
    </w:p>
    <w:p w14:paraId="38048D8D" w14:textId="76F9D163" w:rsidR="0078571E" w:rsidRDefault="00FA27BF" w:rsidP="0078571E">
      <w:pPr>
        <w:pStyle w:val="NormalWeb"/>
        <w:spacing w:before="0" w:beforeAutospacing="0" w:after="0" w:afterAutospacing="0"/>
        <w:ind w:left="720" w:right="720"/>
        <w:jc w:val="both"/>
        <w:textAlignment w:val="baseline"/>
        <w:outlineLvl w:val="0"/>
        <w:rPr>
          <w:rFonts w:ascii="Arial" w:hAnsi="Arial" w:cs="Arial"/>
          <w:color w:val="000000"/>
        </w:rPr>
      </w:pPr>
      <w:r>
        <w:rPr>
          <w:rStyle w:val="ssib"/>
          <w:rFonts w:ascii="Arial" w:hAnsi="Arial" w:cs="Arial"/>
          <w:b/>
          <w:bCs/>
          <w:i/>
          <w:iCs/>
          <w:color w:val="000000"/>
          <w:bdr w:val="none" w:sz="0" w:space="0" w:color="auto" w:frame="1"/>
        </w:rPr>
        <w:t xml:space="preserve">     </w:t>
      </w:r>
      <w:r w:rsidR="00D57B45">
        <w:rPr>
          <w:rStyle w:val="ssib"/>
          <w:rFonts w:ascii="Arial" w:hAnsi="Arial" w:cs="Arial"/>
          <w:b/>
          <w:bCs/>
          <w:i/>
          <w:iCs/>
          <w:color w:val="000000"/>
          <w:bdr w:val="none" w:sz="0" w:space="0" w:color="auto" w:frame="1"/>
        </w:rPr>
        <w:t xml:space="preserve"> </w:t>
      </w:r>
      <w:r w:rsidR="0078571E" w:rsidRPr="0078571E">
        <w:rPr>
          <w:rFonts w:ascii="Arial" w:hAnsi="Arial" w:cs="Arial"/>
          <w:color w:val="000000"/>
        </w:rPr>
        <w:t>[12-14] </w:t>
      </w:r>
      <w:r w:rsidR="0078571E" w:rsidRPr="0078571E">
        <w:rPr>
          <w:rStyle w:val="ssrfcpassagedeactivated"/>
          <w:rFonts w:ascii="Arial" w:hAnsi="Arial" w:cs="Arial"/>
          <w:color w:val="000000"/>
          <w:bdr w:val="none" w:sz="0" w:space="0" w:color="auto" w:frame="1"/>
        </w:rPr>
        <w:t>¶20 While the Superior Court determined that UHP Projects lacked prior notice of the claim, this is belied by the fact that UHP Projects briefed the equipment issue on the merits as part of its summary judgment briefing and has not asserted any </w:t>
      </w:r>
      <w:r w:rsidR="0078571E" w:rsidRPr="0078571E">
        <w:rPr>
          <w:rStyle w:val="ssit"/>
          <w:rFonts w:ascii="Arial" w:hAnsi="Arial" w:cs="Arial"/>
          <w:i/>
          <w:iCs/>
          <w:color w:val="000000"/>
          <w:bdr w:val="none" w:sz="0" w:space="0" w:color="auto" w:frame="1"/>
        </w:rPr>
        <w:t>particularized</w:t>
      </w:r>
      <w:r w:rsidR="0078571E" w:rsidRPr="0078571E">
        <w:rPr>
          <w:rStyle w:val="ssrfcpassagedeactivated"/>
          <w:rFonts w:ascii="Arial" w:hAnsi="Arial" w:cs="Arial"/>
          <w:color w:val="000000"/>
          <w:bdr w:val="none" w:sz="0" w:space="0" w:color="auto" w:frame="1"/>
        </w:rPr>
        <w:t xml:space="preserve"> prejudice that it would suffer if the amendment were permitted. Importantly, the prejudice cannot simply be that UHP Projects may lose the case on the merits if the amended pleading is allowed; rather, </w:t>
      </w:r>
      <w:r w:rsidR="0078571E" w:rsidRPr="00375F0B">
        <w:rPr>
          <w:rStyle w:val="ssrfcpassagedeactivated"/>
          <w:rFonts w:ascii="Arial" w:hAnsi="Arial" w:cs="Arial"/>
          <w:b/>
          <w:bCs/>
          <w:color w:val="000000"/>
          <w:bdr w:val="none" w:sz="0" w:space="0" w:color="auto" w:frame="1"/>
        </w:rPr>
        <w:t>“[t]o constitute prejudice, the amendment must compromise [the defendant's] ability to present [its] case.”</w:t>
      </w:r>
      <w:r w:rsidR="0078571E" w:rsidRPr="0078571E">
        <w:rPr>
          <w:rStyle w:val="ssrfcpassagedeactivated"/>
          <w:rFonts w:ascii="Arial" w:hAnsi="Arial" w:cs="Arial"/>
          <w:color w:val="000000"/>
          <w:bdr w:val="none" w:sz="0" w:space="0" w:color="auto" w:frame="1"/>
        </w:rPr>
        <w:t> </w:t>
      </w:r>
      <w:r w:rsidR="0078571E" w:rsidRPr="0078571E">
        <w:rPr>
          <w:rStyle w:val="ssit"/>
          <w:rFonts w:ascii="Arial" w:hAnsi="Arial" w:cs="Arial"/>
          <w:i/>
          <w:iCs/>
          <w:color w:val="000000"/>
          <w:bdr w:val="none" w:sz="0" w:space="0" w:color="auto" w:frame="1"/>
        </w:rPr>
        <w:t>Philadelphia v. Spencer</w:t>
      </w:r>
      <w:r w:rsidR="0078571E" w:rsidRPr="0078571E">
        <w:rPr>
          <w:rStyle w:val="ssrfcpassagedeactivated"/>
          <w:rFonts w:ascii="Arial" w:hAnsi="Arial" w:cs="Arial"/>
          <w:color w:val="000000"/>
          <w:bdr w:val="none" w:sz="0" w:space="0" w:color="auto" w:frame="1"/>
        </w:rPr>
        <w:t>, 139 Pa. Commw. 574, 591 A.2d 5, 7 (1991). </w:t>
      </w:r>
      <w:r w:rsidR="0078571E" w:rsidRPr="0078571E">
        <w:rPr>
          <w:rStyle w:val="ssrfcsection"/>
          <w:rFonts w:ascii="Arial" w:hAnsi="Arial" w:cs="Arial"/>
          <w:color w:val="000000"/>
          <w:bdr w:val="none" w:sz="0" w:space="0" w:color="auto" w:frame="1"/>
        </w:rPr>
        <w:t>Although the litigation had already been pending for approximately 14 years at the time the motion had been filed, Davis clearly believed that this claim had been pled in the original complaint at the start of the litigation and did not know that it was not until the Superior Court issued its October 28, 2015 opinion holding otherwise. </w:t>
      </w:r>
      <w:r w:rsidR="0078571E" w:rsidRPr="0078571E">
        <w:rPr>
          <w:rStyle w:val="ssrfcpassagedeactivated"/>
          <w:rFonts w:ascii="Arial" w:hAnsi="Arial" w:cs="Arial"/>
          <w:color w:val="000000"/>
          <w:bdr w:val="none" w:sz="0" w:space="0" w:color="auto" w:frame="1"/>
        </w:rPr>
        <w:t>And while the Superior Court placed significant weight on the fact that Davis did not file the </w:t>
      </w:r>
      <w:r w:rsidR="0078571E" w:rsidRPr="0078571E">
        <w:rPr>
          <w:rStyle w:val="sh1335978773"/>
          <w:rFonts w:ascii="Arial" w:hAnsi="Arial" w:cs="Arial"/>
          <w:color w:val="000000"/>
          <w:bdr w:val="none" w:sz="0" w:space="0" w:color="auto" w:frame="1"/>
        </w:rPr>
        <w:t>motion to amend</w:t>
      </w:r>
      <w:r w:rsidR="0078571E" w:rsidRPr="0078571E">
        <w:rPr>
          <w:rStyle w:val="ssrfcpassagedeactivated"/>
          <w:rFonts w:ascii="Arial" w:hAnsi="Arial" w:cs="Arial"/>
          <w:color w:val="000000"/>
          <w:bdr w:val="none" w:sz="0" w:space="0" w:color="auto" w:frame="1"/>
        </w:rPr>
        <w:t xml:space="preserve"> until nearly a year after the Superior Court issued its October 28, 2015 opinion, Rule 15 permits </w:t>
      </w:r>
      <w:r w:rsidR="0078571E" w:rsidRPr="0078571E">
        <w:rPr>
          <w:rStyle w:val="ssrfcpassagedeactivated"/>
          <w:rFonts w:ascii="Arial" w:hAnsi="Arial" w:cs="Arial"/>
          <w:color w:val="000000"/>
          <w:bdr w:val="none" w:sz="0" w:space="0" w:color="auto" w:frame="1"/>
        </w:rPr>
        <w:lastRenderedPageBreak/>
        <w:t>an amendment at any time — even during trial — and as noted above, unreasonable delay, without more, is not sufficient grounds to deny leave to amend. </w:t>
      </w:r>
      <w:r w:rsidR="0078571E" w:rsidRPr="0078571E">
        <w:rPr>
          <w:rStyle w:val="ssit"/>
          <w:rFonts w:ascii="Arial" w:hAnsi="Arial" w:cs="Arial"/>
          <w:i/>
          <w:iCs/>
          <w:color w:val="000000"/>
          <w:bdr w:val="none" w:sz="0" w:space="0" w:color="auto" w:frame="1"/>
        </w:rPr>
        <w:t>See Toussaint</w:t>
      </w:r>
      <w:r w:rsidR="0078571E" w:rsidRPr="0078571E">
        <w:rPr>
          <w:rStyle w:val="ssrfcsection"/>
          <w:rFonts w:ascii="Arial" w:hAnsi="Arial" w:cs="Arial"/>
          <w:color w:val="000000"/>
          <w:bdr w:val="none" w:sz="0" w:space="0" w:color="auto" w:frame="1"/>
        </w:rPr>
        <w:t>, 67 V.I. at 949-50; </w:t>
      </w:r>
      <w:r w:rsidR="0078571E" w:rsidRPr="0078571E">
        <w:rPr>
          <w:rStyle w:val="ssit"/>
          <w:rFonts w:ascii="Arial" w:hAnsi="Arial" w:cs="Arial"/>
          <w:i/>
          <w:iCs/>
          <w:color w:val="000000"/>
          <w:bdr w:val="none" w:sz="0" w:space="0" w:color="auto" w:frame="1"/>
        </w:rPr>
        <w:t>Stouffer</w:t>
      </w:r>
      <w:r w:rsidR="0078571E" w:rsidRPr="0078571E">
        <w:rPr>
          <w:rStyle w:val="ssrfcsection"/>
          <w:rFonts w:ascii="Arial" w:hAnsi="Arial" w:cs="Arial"/>
          <w:color w:val="000000"/>
          <w:bdr w:val="none" w:sz="0" w:space="0" w:color="auto" w:frame="1"/>
        </w:rPr>
        <w:t>, 562 A.2d at 923. </w:t>
      </w:r>
      <w:r w:rsidR="0078571E" w:rsidRPr="00375F0B">
        <w:rPr>
          <w:rStyle w:val="ssrfcpassagedeactivated"/>
          <w:rFonts w:ascii="Arial" w:hAnsi="Arial" w:cs="Arial"/>
          <w:b/>
          <w:bCs/>
          <w:color w:val="000000"/>
          <w:bdr w:val="none" w:sz="0" w:space="0" w:color="auto" w:frame="1"/>
        </w:rPr>
        <w:t>Moreover, though the litigation had been pending for 14 years, the parties remained engaged in motion practice and other pre-trial matters at the time the motion had been filed, with trial not imminent.</w:t>
      </w:r>
      <w:r w:rsidR="0078571E" w:rsidRPr="0078571E">
        <w:rPr>
          <w:rStyle w:val="ssrfcpassagedeactivated"/>
          <w:rFonts w:ascii="Arial" w:hAnsi="Arial" w:cs="Arial"/>
          <w:color w:val="000000"/>
          <w:bdr w:val="none" w:sz="0" w:space="0" w:color="auto" w:frame="1"/>
        </w:rPr>
        <w:t> </w:t>
      </w:r>
      <w:r w:rsidR="0078571E" w:rsidRPr="0078571E">
        <w:rPr>
          <w:rStyle w:val="ssit"/>
          <w:rFonts w:ascii="Arial" w:hAnsi="Arial" w:cs="Arial"/>
          <w:i/>
          <w:iCs/>
          <w:color w:val="000000"/>
          <w:bdr w:val="none" w:sz="0" w:space="0" w:color="auto" w:frame="1"/>
        </w:rPr>
        <w:t>See Selcke v. Bove</w:t>
      </w:r>
      <w:r w:rsidR="0078571E" w:rsidRPr="0078571E">
        <w:rPr>
          <w:rStyle w:val="ssrfcpassagedeactivated"/>
          <w:rFonts w:ascii="Arial" w:hAnsi="Arial" w:cs="Arial"/>
          <w:color w:val="000000"/>
          <w:bdr w:val="none" w:sz="0" w:space="0" w:color="auto" w:frame="1"/>
        </w:rPr>
        <w:t>, 258 Ill. App. 3d 932, 629 N.E.2d 747, 752, 196 Ill. Dec. 202 (1994); </w:t>
      </w:r>
      <w:r w:rsidR="0078571E" w:rsidRPr="0078571E">
        <w:rPr>
          <w:rStyle w:val="ssit"/>
          <w:rFonts w:ascii="Arial" w:hAnsi="Arial" w:cs="Arial"/>
          <w:i/>
          <w:iCs/>
          <w:color w:val="000000"/>
          <w:bdr w:val="none" w:sz="0" w:space="0" w:color="auto" w:frame="1"/>
        </w:rPr>
        <w:t>Leslie v. Hymes</w:t>
      </w:r>
      <w:r w:rsidR="0078571E" w:rsidRPr="0078571E">
        <w:rPr>
          <w:rStyle w:val="ssrfcpassagedeactivated"/>
          <w:rFonts w:ascii="Arial" w:hAnsi="Arial" w:cs="Arial"/>
          <w:color w:val="000000"/>
          <w:bdr w:val="none" w:sz="0" w:space="0" w:color="auto" w:frame="1"/>
        </w:rPr>
        <w:t>, 60 A.D.2d 564, 400 N.Y.S.2d 350, 351 (1977). </w:t>
      </w:r>
      <w:r w:rsidR="0078571E" w:rsidRPr="0078571E">
        <w:rPr>
          <w:rFonts w:ascii="Arial" w:hAnsi="Arial" w:cs="Arial"/>
          <w:color w:val="000000"/>
        </w:rPr>
        <w:t xml:space="preserve">Significantly, the fact that the </w:t>
      </w:r>
      <w:r w:rsidR="0078571E" w:rsidRPr="00375F0B">
        <w:rPr>
          <w:rFonts w:ascii="Arial" w:hAnsi="Arial" w:cs="Arial"/>
          <w:b/>
          <w:bCs/>
          <w:color w:val="000000"/>
        </w:rPr>
        <w:t>Superior Court did not rule on the </w:t>
      </w:r>
      <w:r w:rsidR="0078571E" w:rsidRPr="00375F0B">
        <w:rPr>
          <w:rStyle w:val="sh1335978773"/>
          <w:rFonts w:ascii="Arial" w:hAnsi="Arial" w:cs="Arial"/>
          <w:b/>
          <w:bCs/>
          <w:color w:val="000000"/>
          <w:bdr w:val="none" w:sz="0" w:space="0" w:color="auto" w:frame="1"/>
        </w:rPr>
        <w:t>motion to amend</w:t>
      </w:r>
      <w:r w:rsidR="0078571E" w:rsidRPr="00375F0B">
        <w:rPr>
          <w:rFonts w:ascii="Arial" w:hAnsi="Arial" w:cs="Arial"/>
          <w:b/>
          <w:bCs/>
          <w:color w:val="000000"/>
        </w:rPr>
        <w:t> until nearly three years after it was filed</w:t>
      </w:r>
      <w:r w:rsidR="0078571E" w:rsidRPr="0078571E">
        <w:rPr>
          <w:rFonts w:ascii="Arial" w:hAnsi="Arial" w:cs="Arial"/>
          <w:color w:val="000000"/>
        </w:rPr>
        <w:t xml:space="preserve"> — a period in which discovery could have occurred had the motion been granted in a timely manner — demonstrates that permitting the amendment would not have unnecessarily prolonged the proceeding. Therefore, we also reverse this aspect of the judgment under the September 6, 2019 opinion, and direct the Superior Court on remand to permit the amendment.</w:t>
      </w:r>
      <w:r w:rsidR="00375F0B">
        <w:rPr>
          <w:rFonts w:ascii="Arial" w:hAnsi="Arial" w:cs="Arial"/>
          <w:color w:val="000000"/>
        </w:rPr>
        <w:t xml:space="preserve"> (Emphasis added.)</w:t>
      </w:r>
    </w:p>
    <w:p w14:paraId="2C750A91" w14:textId="20D83702" w:rsidR="00375F0B" w:rsidRDefault="00375F0B" w:rsidP="0078571E">
      <w:pPr>
        <w:pStyle w:val="NormalWeb"/>
        <w:spacing w:before="0" w:beforeAutospacing="0" w:after="0" w:afterAutospacing="0"/>
        <w:ind w:left="720" w:right="720"/>
        <w:jc w:val="both"/>
        <w:textAlignment w:val="baseline"/>
        <w:outlineLvl w:val="0"/>
        <w:rPr>
          <w:rFonts w:ascii="Arial" w:hAnsi="Arial" w:cs="Arial"/>
          <w:color w:val="000000"/>
        </w:rPr>
      </w:pPr>
    </w:p>
    <w:p w14:paraId="5BE71A8B" w14:textId="4EE05959" w:rsidR="00375F0B" w:rsidRDefault="00375F0B" w:rsidP="00375F0B">
      <w:pPr>
        <w:pStyle w:val="NormalWeb"/>
        <w:numPr>
          <w:ilvl w:val="0"/>
          <w:numId w:val="13"/>
        </w:numPr>
        <w:spacing w:before="0" w:beforeAutospacing="0" w:after="0" w:afterAutospacing="0"/>
        <w:ind w:right="720"/>
        <w:jc w:val="both"/>
        <w:textAlignment w:val="baseline"/>
        <w:outlineLvl w:val="0"/>
        <w:rPr>
          <w:rFonts w:ascii="Arial" w:hAnsi="Arial" w:cs="Arial"/>
          <w:b/>
          <w:bCs/>
          <w:color w:val="000000"/>
        </w:rPr>
      </w:pPr>
      <w:r w:rsidRPr="00F00238">
        <w:rPr>
          <w:rFonts w:ascii="Arial" w:hAnsi="Arial" w:cs="Arial"/>
          <w:b/>
          <w:bCs/>
          <w:color w:val="000000"/>
        </w:rPr>
        <w:t>Argument</w:t>
      </w:r>
    </w:p>
    <w:p w14:paraId="0FD082DA" w14:textId="4D389EAA" w:rsidR="004A06B4" w:rsidRDefault="004A06B4" w:rsidP="004A06B4">
      <w:pPr>
        <w:pStyle w:val="NormalWeb"/>
        <w:spacing w:before="0" w:beforeAutospacing="0" w:after="0" w:afterAutospacing="0"/>
        <w:ind w:right="720"/>
        <w:jc w:val="both"/>
        <w:textAlignment w:val="baseline"/>
        <w:outlineLvl w:val="0"/>
        <w:rPr>
          <w:rFonts w:ascii="Arial" w:hAnsi="Arial" w:cs="Arial"/>
          <w:b/>
          <w:bCs/>
          <w:color w:val="000000"/>
        </w:rPr>
      </w:pPr>
    </w:p>
    <w:p w14:paraId="62233719" w14:textId="70573ADD" w:rsidR="00D92630" w:rsidRDefault="004A06B4" w:rsidP="00D92630">
      <w:pPr>
        <w:pStyle w:val="ListParagraph"/>
        <w:numPr>
          <w:ilvl w:val="0"/>
          <w:numId w:val="18"/>
        </w:numPr>
        <w:spacing w:after="0" w:line="480" w:lineRule="auto"/>
        <w:jc w:val="both"/>
        <w:outlineLvl w:val="0"/>
        <w:rPr>
          <w:rFonts w:ascii="Arial" w:hAnsi="Arial" w:cs="Arial"/>
          <w:color w:val="000000"/>
          <w:sz w:val="24"/>
        </w:rPr>
      </w:pPr>
      <w:r>
        <w:rPr>
          <w:rFonts w:ascii="Arial" w:hAnsi="Arial" w:cs="Arial"/>
          <w:color w:val="000000"/>
          <w:sz w:val="24"/>
        </w:rPr>
        <w:t xml:space="preserve">Davis factor 1 </w:t>
      </w:r>
      <w:r w:rsidR="008365C3">
        <w:rPr>
          <w:rFonts w:ascii="Arial" w:hAnsi="Arial" w:cs="Arial"/>
          <w:color w:val="000000"/>
          <w:sz w:val="24"/>
        </w:rPr>
        <w:t>—</w:t>
      </w:r>
      <w:r>
        <w:rPr>
          <w:rFonts w:ascii="Arial" w:hAnsi="Arial" w:cs="Arial"/>
          <w:color w:val="000000"/>
          <w:sz w:val="24"/>
        </w:rPr>
        <w:t xml:space="preserve"> undue d</w:t>
      </w:r>
      <w:r w:rsidR="00D92630">
        <w:rPr>
          <w:rFonts w:ascii="Arial" w:hAnsi="Arial" w:cs="Arial"/>
          <w:color w:val="000000"/>
          <w:sz w:val="24"/>
        </w:rPr>
        <w:t>elay</w:t>
      </w:r>
    </w:p>
    <w:p w14:paraId="6630924E" w14:textId="40E823E1" w:rsidR="0078571E" w:rsidRDefault="00375F0B" w:rsidP="00D92630">
      <w:pPr>
        <w:pStyle w:val="ListParagraph"/>
        <w:spacing w:after="0" w:line="480" w:lineRule="auto"/>
        <w:ind w:left="0" w:firstLine="720"/>
        <w:jc w:val="both"/>
        <w:outlineLvl w:val="0"/>
        <w:rPr>
          <w:rFonts w:ascii="Arial" w:hAnsi="Arial" w:cs="Arial"/>
          <w:color w:val="000000"/>
          <w:sz w:val="24"/>
        </w:rPr>
      </w:pPr>
      <w:r>
        <w:rPr>
          <w:rFonts w:ascii="Arial" w:hAnsi="Arial" w:cs="Arial"/>
          <w:color w:val="000000"/>
          <w:sz w:val="24"/>
        </w:rPr>
        <w:t xml:space="preserve">As was the case in </w:t>
      </w:r>
      <w:r w:rsidRPr="006B39B4">
        <w:rPr>
          <w:rFonts w:ascii="Arial" w:hAnsi="Arial" w:cs="Arial"/>
          <w:i/>
          <w:iCs/>
          <w:color w:val="000000"/>
          <w:sz w:val="24"/>
        </w:rPr>
        <w:t>Davis</w:t>
      </w:r>
      <w:r>
        <w:rPr>
          <w:rFonts w:ascii="Arial" w:hAnsi="Arial" w:cs="Arial"/>
          <w:color w:val="000000"/>
          <w:sz w:val="24"/>
        </w:rPr>
        <w:t>, the</w:t>
      </w:r>
      <w:r w:rsidR="004B3ACD">
        <w:rPr>
          <w:rFonts w:ascii="Arial" w:hAnsi="Arial" w:cs="Arial"/>
          <w:color w:val="000000"/>
          <w:sz w:val="24"/>
        </w:rPr>
        <w:t xml:space="preserve"> two</w:t>
      </w:r>
      <w:r>
        <w:rPr>
          <w:rFonts w:ascii="Arial" w:hAnsi="Arial" w:cs="Arial"/>
          <w:color w:val="000000"/>
          <w:sz w:val="24"/>
        </w:rPr>
        <w:t xml:space="preserve"> motions to dismiss were </w:t>
      </w:r>
      <w:r w:rsidR="00F00238">
        <w:rPr>
          <w:rFonts w:ascii="Arial" w:hAnsi="Arial" w:cs="Arial"/>
          <w:color w:val="000000"/>
          <w:sz w:val="24"/>
        </w:rPr>
        <w:t xml:space="preserve">timely </w:t>
      </w:r>
      <w:r>
        <w:rPr>
          <w:rFonts w:ascii="Arial" w:hAnsi="Arial" w:cs="Arial"/>
          <w:color w:val="000000"/>
          <w:sz w:val="24"/>
        </w:rPr>
        <w:t xml:space="preserve">filed in January and June of 2017—and were fully briefed thereafter. Because there was no decision, the defendants did not file answers. </w:t>
      </w:r>
      <w:r w:rsidR="006B39B4">
        <w:rPr>
          <w:rFonts w:ascii="Arial" w:hAnsi="Arial" w:cs="Arial"/>
          <w:color w:val="000000"/>
          <w:sz w:val="24"/>
        </w:rPr>
        <w:t xml:space="preserve">Because the case was transferred and subject to several procedural issues discovery was </w:t>
      </w:r>
      <w:r w:rsidR="00FA27BF">
        <w:rPr>
          <w:rFonts w:ascii="Arial" w:hAnsi="Arial" w:cs="Arial"/>
          <w:color w:val="000000"/>
          <w:sz w:val="24"/>
        </w:rPr>
        <w:t xml:space="preserve">almost completely </w:t>
      </w:r>
      <w:r w:rsidR="006B39B4">
        <w:rPr>
          <w:rFonts w:ascii="Arial" w:hAnsi="Arial" w:cs="Arial"/>
          <w:color w:val="000000"/>
          <w:sz w:val="24"/>
        </w:rPr>
        <w:t xml:space="preserve">delayed until 2022. Thus, the cases did not get back onto the rails until </w:t>
      </w:r>
      <w:r w:rsidR="004B3ACD">
        <w:rPr>
          <w:rFonts w:ascii="Arial" w:hAnsi="Arial" w:cs="Arial"/>
          <w:color w:val="000000"/>
          <w:sz w:val="24"/>
        </w:rPr>
        <w:t>the unprompted filing of that Joint Report on July 22</w:t>
      </w:r>
      <w:r w:rsidR="004B3ACD" w:rsidRPr="004B3ACD">
        <w:rPr>
          <w:rFonts w:ascii="Arial" w:hAnsi="Arial" w:cs="Arial"/>
          <w:color w:val="000000"/>
          <w:sz w:val="24"/>
          <w:vertAlign w:val="superscript"/>
        </w:rPr>
        <w:t>nd</w:t>
      </w:r>
      <w:r w:rsidR="004B3ACD">
        <w:rPr>
          <w:rFonts w:ascii="Arial" w:hAnsi="Arial" w:cs="Arial"/>
          <w:color w:val="000000"/>
          <w:sz w:val="24"/>
        </w:rPr>
        <w:t xml:space="preserve"> of this</w:t>
      </w:r>
      <w:r w:rsidR="006B39B4">
        <w:rPr>
          <w:rFonts w:ascii="Arial" w:hAnsi="Arial" w:cs="Arial"/>
          <w:color w:val="000000"/>
          <w:sz w:val="24"/>
        </w:rPr>
        <w:t xml:space="preserve"> year.</w:t>
      </w:r>
      <w:r w:rsidR="00FA27BF">
        <w:rPr>
          <w:rFonts w:ascii="Arial" w:hAnsi="Arial" w:cs="Arial"/>
          <w:color w:val="000000"/>
          <w:sz w:val="24"/>
        </w:rPr>
        <w:t xml:space="preserve"> </w:t>
      </w:r>
      <w:r w:rsidR="004B3ACD">
        <w:rPr>
          <w:rFonts w:ascii="Arial" w:hAnsi="Arial" w:cs="Arial"/>
          <w:color w:val="000000"/>
          <w:sz w:val="24"/>
        </w:rPr>
        <w:t>Thus, the entirety of the current litigation of this case has taken place in less tha</w:t>
      </w:r>
      <w:r w:rsidR="007861CD">
        <w:rPr>
          <w:rFonts w:ascii="Arial" w:hAnsi="Arial" w:cs="Arial"/>
          <w:color w:val="000000"/>
          <w:sz w:val="24"/>
        </w:rPr>
        <w:t>n five months!</w:t>
      </w:r>
    </w:p>
    <w:p w14:paraId="0DBC9BD3" w14:textId="51D42FF2" w:rsidR="000C5E12" w:rsidRDefault="00FA27BF" w:rsidP="000C5E12">
      <w:pPr>
        <w:pStyle w:val="ListParagraph"/>
        <w:spacing w:after="0" w:line="480" w:lineRule="auto"/>
        <w:ind w:left="0"/>
        <w:jc w:val="both"/>
        <w:outlineLvl w:val="0"/>
        <w:rPr>
          <w:rFonts w:ascii="Arial" w:hAnsi="Arial" w:cs="Arial"/>
          <w:color w:val="000000"/>
          <w:sz w:val="24"/>
        </w:rPr>
      </w:pPr>
      <w:r>
        <w:rPr>
          <w:rFonts w:ascii="Arial" w:hAnsi="Arial" w:cs="Arial"/>
          <w:color w:val="000000"/>
          <w:sz w:val="24"/>
        </w:rPr>
        <w:tab/>
        <w:t xml:space="preserve">As was the case in </w:t>
      </w:r>
      <w:r w:rsidRPr="00FA27BF">
        <w:rPr>
          <w:rFonts w:ascii="Arial" w:hAnsi="Arial" w:cs="Arial"/>
          <w:i/>
          <w:iCs/>
          <w:color w:val="000000"/>
          <w:sz w:val="24"/>
        </w:rPr>
        <w:t>Davis</w:t>
      </w:r>
      <w:r>
        <w:rPr>
          <w:rFonts w:ascii="Arial" w:hAnsi="Arial" w:cs="Arial"/>
          <w:color w:val="000000"/>
          <w:sz w:val="24"/>
        </w:rPr>
        <w:t>, trial is not imminent.</w:t>
      </w:r>
      <w:r w:rsidR="000C5E12">
        <w:rPr>
          <w:rFonts w:ascii="Arial" w:hAnsi="Arial" w:cs="Arial"/>
          <w:color w:val="000000"/>
          <w:sz w:val="24"/>
        </w:rPr>
        <w:t xml:space="preserve"> At 74 V.I. 538, th</w:t>
      </w:r>
      <w:r w:rsidR="007861CD">
        <w:rPr>
          <w:rFonts w:ascii="Arial" w:hAnsi="Arial" w:cs="Arial"/>
          <w:color w:val="000000"/>
          <w:sz w:val="24"/>
        </w:rPr>
        <w:t>at</w:t>
      </w:r>
      <w:r w:rsidR="000C5E12">
        <w:rPr>
          <w:rFonts w:ascii="Arial" w:hAnsi="Arial" w:cs="Arial"/>
          <w:color w:val="000000"/>
          <w:sz w:val="24"/>
        </w:rPr>
        <w:t xml:space="preserve"> Court noted </w:t>
      </w:r>
      <w:r w:rsidR="000C5E12" w:rsidRPr="000C5E12">
        <w:rPr>
          <w:rFonts w:ascii="Arial" w:hAnsi="Arial" w:cs="Arial"/>
          <w:color w:val="000000"/>
          <w:sz w:val="24"/>
        </w:rPr>
        <w:t>“though the litigation had been pending for 14 years, the parties remained engaged in motion practice and other pre-trial matters at the time the motion had been filed, with trial not imminent.</w:t>
      </w:r>
      <w:r w:rsidR="007861CD">
        <w:rPr>
          <w:rFonts w:ascii="Arial" w:hAnsi="Arial" w:cs="Arial"/>
          <w:color w:val="000000"/>
          <w:sz w:val="24"/>
        </w:rPr>
        <w:t>”</w:t>
      </w:r>
      <w:r w:rsidR="000C5E12">
        <w:rPr>
          <w:rFonts w:ascii="Arial" w:hAnsi="Arial" w:cs="Arial"/>
          <w:color w:val="000000"/>
          <w:sz w:val="24"/>
        </w:rPr>
        <w:t xml:space="preserve"> The same is true here. </w:t>
      </w:r>
    </w:p>
    <w:p w14:paraId="254DCEF9" w14:textId="05427D02" w:rsidR="00D57B45" w:rsidRDefault="00FA27BF" w:rsidP="000C5E12">
      <w:pPr>
        <w:pStyle w:val="ListParagraph"/>
        <w:spacing w:after="0" w:line="480" w:lineRule="auto"/>
        <w:ind w:left="0"/>
        <w:jc w:val="both"/>
        <w:outlineLvl w:val="0"/>
        <w:rPr>
          <w:rStyle w:val="ssrfcpassagedeactivated"/>
          <w:rFonts w:ascii="Arial" w:hAnsi="Arial" w:cs="Arial"/>
          <w:color w:val="000000"/>
          <w:sz w:val="24"/>
          <w:bdr w:val="none" w:sz="0" w:space="0" w:color="auto" w:frame="1"/>
        </w:rPr>
      </w:pPr>
      <w:r>
        <w:rPr>
          <w:rFonts w:ascii="Arial" w:hAnsi="Arial" w:cs="Arial"/>
          <w:color w:val="000000"/>
          <w:sz w:val="24"/>
        </w:rPr>
        <w:tab/>
        <w:t xml:space="preserve">As was the case in </w:t>
      </w:r>
      <w:r w:rsidRPr="00171EF8">
        <w:rPr>
          <w:rFonts w:ascii="Arial" w:hAnsi="Arial" w:cs="Arial"/>
          <w:i/>
          <w:iCs/>
          <w:color w:val="000000"/>
          <w:sz w:val="24"/>
        </w:rPr>
        <w:t>Davis</w:t>
      </w:r>
      <w:r>
        <w:rPr>
          <w:rFonts w:ascii="Arial" w:hAnsi="Arial" w:cs="Arial"/>
          <w:color w:val="000000"/>
          <w:sz w:val="24"/>
        </w:rPr>
        <w:t xml:space="preserve">, </w:t>
      </w:r>
      <w:r w:rsidRPr="00FA27BF">
        <w:rPr>
          <w:rStyle w:val="ssrfcpassagedeactivated"/>
          <w:rFonts w:ascii="Arial" w:hAnsi="Arial" w:cs="Arial"/>
          <w:color w:val="000000"/>
          <w:sz w:val="24"/>
          <w:bdr w:val="none" w:sz="0" w:space="0" w:color="auto" w:frame="1"/>
        </w:rPr>
        <w:t>“[t]o constitute prejudice, the amendment must compromise [the defendant's] ability to present [its] case.”</w:t>
      </w:r>
      <w:r w:rsidRPr="0078571E">
        <w:rPr>
          <w:rStyle w:val="ssrfcpassagedeactivated"/>
          <w:rFonts w:ascii="Arial" w:hAnsi="Arial" w:cs="Arial"/>
          <w:color w:val="000000"/>
          <w:sz w:val="24"/>
          <w:bdr w:val="none" w:sz="0" w:space="0" w:color="auto" w:frame="1"/>
        </w:rPr>
        <w:t> </w:t>
      </w:r>
      <w:r>
        <w:rPr>
          <w:rStyle w:val="ssrfcpassagedeactivated"/>
          <w:rFonts w:ascii="Arial" w:hAnsi="Arial" w:cs="Arial"/>
          <w:color w:val="000000"/>
          <w:sz w:val="24"/>
          <w:bdr w:val="none" w:sz="0" w:space="0" w:color="auto" w:frame="1"/>
        </w:rPr>
        <w:t xml:space="preserve">That </w:t>
      </w:r>
      <w:r w:rsidR="00171EF8">
        <w:rPr>
          <w:rStyle w:val="ssrfcpassagedeactivated"/>
          <w:rFonts w:ascii="Arial" w:hAnsi="Arial" w:cs="Arial"/>
          <w:color w:val="000000"/>
          <w:sz w:val="24"/>
          <w:bdr w:val="none" w:sz="0" w:space="0" w:color="auto" w:frame="1"/>
        </w:rPr>
        <w:t>is</w:t>
      </w:r>
      <w:r>
        <w:rPr>
          <w:rStyle w:val="ssrfcpassagedeactivated"/>
          <w:rFonts w:ascii="Arial" w:hAnsi="Arial" w:cs="Arial"/>
          <w:color w:val="000000"/>
          <w:sz w:val="24"/>
          <w:bdr w:val="none" w:sz="0" w:space="0" w:color="auto" w:frame="1"/>
        </w:rPr>
        <w:t xml:space="preserve"> absolutely n</w:t>
      </w:r>
      <w:r w:rsidR="00171EF8">
        <w:rPr>
          <w:rStyle w:val="ssrfcpassagedeactivated"/>
          <w:rFonts w:ascii="Arial" w:hAnsi="Arial" w:cs="Arial"/>
          <w:color w:val="000000"/>
          <w:sz w:val="24"/>
          <w:bdr w:val="none" w:sz="0" w:space="0" w:color="auto" w:frame="1"/>
        </w:rPr>
        <w:t>o</w:t>
      </w:r>
      <w:r>
        <w:rPr>
          <w:rStyle w:val="ssrfcpassagedeactivated"/>
          <w:rFonts w:ascii="Arial" w:hAnsi="Arial" w:cs="Arial"/>
          <w:color w:val="000000"/>
          <w:sz w:val="24"/>
          <w:bdr w:val="none" w:sz="0" w:space="0" w:color="auto" w:frame="1"/>
        </w:rPr>
        <w:t xml:space="preserve">t the case here. </w:t>
      </w:r>
      <w:r w:rsidR="00D92630">
        <w:rPr>
          <w:rStyle w:val="ssrfcpassagedeactivated"/>
          <w:rFonts w:ascii="Arial" w:hAnsi="Arial" w:cs="Arial"/>
          <w:color w:val="000000"/>
          <w:sz w:val="24"/>
          <w:bdr w:val="none" w:sz="0" w:space="0" w:color="auto" w:frame="1"/>
        </w:rPr>
        <w:t>As noted above</w:t>
      </w:r>
      <w:r w:rsidR="007861CD">
        <w:rPr>
          <w:rStyle w:val="ssrfcpassagedeactivated"/>
          <w:rFonts w:ascii="Arial" w:hAnsi="Arial" w:cs="Arial"/>
          <w:color w:val="000000"/>
          <w:sz w:val="24"/>
          <w:bdr w:val="none" w:sz="0" w:space="0" w:color="auto" w:frame="1"/>
        </w:rPr>
        <w:t xml:space="preserve"> in the footnote</w:t>
      </w:r>
      <w:r w:rsidR="00D92630">
        <w:rPr>
          <w:rStyle w:val="ssrfcpassagedeactivated"/>
          <w:rFonts w:ascii="Arial" w:hAnsi="Arial" w:cs="Arial"/>
          <w:color w:val="000000"/>
          <w:sz w:val="24"/>
          <w:bdr w:val="none" w:sz="0" w:space="0" w:color="auto" w:frame="1"/>
        </w:rPr>
        <w:t>, Manal is not prejudiced and the primary defendants are actually</w:t>
      </w:r>
      <w:r w:rsidR="007861CD">
        <w:rPr>
          <w:rStyle w:val="ssrfcpassagedeactivated"/>
          <w:rFonts w:ascii="Arial" w:hAnsi="Arial" w:cs="Arial"/>
          <w:color w:val="000000"/>
          <w:sz w:val="24"/>
          <w:bdr w:val="none" w:sz="0" w:space="0" w:color="auto" w:frame="1"/>
        </w:rPr>
        <w:t xml:space="preserve"> on records as being</w:t>
      </w:r>
      <w:r w:rsidR="00D92630">
        <w:rPr>
          <w:rStyle w:val="ssrfcpassagedeactivated"/>
          <w:rFonts w:ascii="Arial" w:hAnsi="Arial" w:cs="Arial"/>
          <w:color w:val="000000"/>
          <w:sz w:val="24"/>
          <w:bdr w:val="none" w:sz="0" w:space="0" w:color="auto" w:frame="1"/>
        </w:rPr>
        <w:t xml:space="preserve"> </w:t>
      </w:r>
      <w:r w:rsidR="00D92630" w:rsidRPr="00171EF8">
        <w:rPr>
          <w:rStyle w:val="ssrfcpassagedeactivated"/>
          <w:rFonts w:ascii="Arial" w:hAnsi="Arial" w:cs="Arial"/>
          <w:i/>
          <w:iCs/>
          <w:color w:val="000000"/>
          <w:sz w:val="24"/>
          <w:bdr w:val="none" w:sz="0" w:space="0" w:color="auto" w:frame="1"/>
        </w:rPr>
        <w:t>enthusiastic</w:t>
      </w:r>
      <w:r w:rsidR="00D92630">
        <w:rPr>
          <w:rStyle w:val="ssrfcpassagedeactivated"/>
          <w:rFonts w:ascii="Arial" w:hAnsi="Arial" w:cs="Arial"/>
          <w:color w:val="000000"/>
          <w:sz w:val="24"/>
          <w:bdr w:val="none" w:sz="0" w:space="0" w:color="auto" w:frame="1"/>
        </w:rPr>
        <w:t xml:space="preserve"> about her being joined.</w:t>
      </w:r>
    </w:p>
    <w:p w14:paraId="62C26382" w14:textId="77777777" w:rsidR="00D57B45" w:rsidRDefault="00D57B45">
      <w:pPr>
        <w:rPr>
          <w:rStyle w:val="ssrfcpassagedeactivated"/>
          <w:rFonts w:eastAsiaTheme="minorHAnsi" w:cs="Arial"/>
          <w:color w:val="000000"/>
          <w:szCs w:val="22"/>
          <w:bdr w:val="none" w:sz="0" w:space="0" w:color="auto" w:frame="1"/>
        </w:rPr>
      </w:pPr>
      <w:r>
        <w:rPr>
          <w:rStyle w:val="ssrfcpassagedeactivated"/>
          <w:rFonts w:cs="Arial"/>
          <w:color w:val="000000"/>
          <w:bdr w:val="none" w:sz="0" w:space="0" w:color="auto" w:frame="1"/>
        </w:rPr>
        <w:br w:type="page"/>
      </w:r>
    </w:p>
    <w:p w14:paraId="7ABBD301" w14:textId="32278E3B" w:rsidR="004A06B4" w:rsidRPr="004A06B4" w:rsidRDefault="004A06B4" w:rsidP="004A06B4">
      <w:pPr>
        <w:pStyle w:val="ListParagraph"/>
        <w:numPr>
          <w:ilvl w:val="0"/>
          <w:numId w:val="18"/>
        </w:numPr>
        <w:spacing w:after="0" w:line="480" w:lineRule="auto"/>
        <w:jc w:val="both"/>
        <w:outlineLvl w:val="0"/>
        <w:rPr>
          <w:rFonts w:ascii="Arial" w:hAnsi="Arial" w:cs="Arial"/>
          <w:color w:val="000000"/>
          <w:sz w:val="24"/>
          <w:bdr w:val="none" w:sz="0" w:space="0" w:color="auto" w:frame="1"/>
        </w:rPr>
      </w:pPr>
      <w:r>
        <w:rPr>
          <w:rStyle w:val="ssrfcpassagedeactivated"/>
          <w:rFonts w:ascii="Arial" w:hAnsi="Arial" w:cs="Arial"/>
          <w:color w:val="000000"/>
          <w:sz w:val="24"/>
          <w:bdr w:val="none" w:sz="0" w:space="0" w:color="auto" w:frame="1"/>
        </w:rPr>
        <w:lastRenderedPageBreak/>
        <w:t xml:space="preserve">Davis Factor 2 </w:t>
      </w:r>
      <w:r w:rsidR="008365C3">
        <w:rPr>
          <w:rStyle w:val="ssrfcpassagedeactivated"/>
          <w:rFonts w:ascii="Arial" w:hAnsi="Arial" w:cs="Arial"/>
          <w:color w:val="000000"/>
          <w:sz w:val="24"/>
          <w:bdr w:val="none" w:sz="0" w:space="0" w:color="auto" w:frame="1"/>
        </w:rPr>
        <w:t>—</w:t>
      </w:r>
      <w:r>
        <w:rPr>
          <w:rStyle w:val="ssrfcpassagedeactivated"/>
          <w:rFonts w:ascii="Arial" w:hAnsi="Arial" w:cs="Arial"/>
          <w:color w:val="000000"/>
          <w:sz w:val="24"/>
          <w:bdr w:val="none" w:sz="0" w:space="0" w:color="auto" w:frame="1"/>
        </w:rPr>
        <w:t xml:space="preserve"> </w:t>
      </w:r>
      <w:r w:rsidRPr="004A06B4">
        <w:rPr>
          <w:rFonts w:ascii="Arial" w:hAnsi="Arial" w:cs="Arial"/>
          <w:color w:val="000000"/>
          <w:sz w:val="24"/>
        </w:rPr>
        <w:t>bad faith or dilatory motive on the part of the movant</w:t>
      </w:r>
    </w:p>
    <w:p w14:paraId="3DE47767" w14:textId="638B13FC" w:rsidR="004A06B4" w:rsidRPr="004A06B4" w:rsidRDefault="004A06B4" w:rsidP="004A06B4">
      <w:pPr>
        <w:spacing w:line="480" w:lineRule="auto"/>
        <w:ind w:firstLine="720"/>
        <w:jc w:val="both"/>
        <w:outlineLvl w:val="0"/>
        <w:rPr>
          <w:rStyle w:val="ssrfcpassagedeactivated"/>
          <w:rFonts w:cs="Arial"/>
          <w:color w:val="000000"/>
          <w:bdr w:val="none" w:sz="0" w:space="0" w:color="auto" w:frame="1"/>
        </w:rPr>
      </w:pPr>
      <w:r>
        <w:rPr>
          <w:rStyle w:val="ssrfcpassagedeactivated"/>
          <w:rFonts w:cs="Arial"/>
          <w:color w:val="000000"/>
          <w:bdr w:val="none" w:sz="0" w:space="0" w:color="auto" w:frame="1"/>
        </w:rPr>
        <w:t xml:space="preserve">There has been no bad faith in Hamed’s actions or prosecution of this action. </w:t>
      </w:r>
      <w:r w:rsidR="007861CD">
        <w:rPr>
          <w:rStyle w:val="ssrfcpassagedeactivated"/>
          <w:rFonts w:cs="Arial"/>
          <w:color w:val="000000"/>
          <w:bdr w:val="none" w:sz="0" w:space="0" w:color="auto" w:frame="1"/>
        </w:rPr>
        <w:t>To the contrary, it was Hamed’s counsel that contacted the other parties to suggest the filing of the Report and moving the case along. All d</w:t>
      </w:r>
      <w:r>
        <w:rPr>
          <w:rStyle w:val="ssrfcpassagedeactivated"/>
          <w:rFonts w:cs="Arial"/>
          <w:color w:val="000000"/>
          <w:bdr w:val="none" w:sz="0" w:space="0" w:color="auto" w:frame="1"/>
        </w:rPr>
        <w:t xml:space="preserve">elays were caused by procedural matters </w:t>
      </w:r>
      <w:r w:rsidR="007861CD">
        <w:rPr>
          <w:rStyle w:val="ssrfcpassagedeactivated"/>
          <w:rFonts w:cs="Arial"/>
          <w:color w:val="000000"/>
          <w:bdr w:val="none" w:sz="0" w:space="0" w:color="auto" w:frame="1"/>
        </w:rPr>
        <w:t xml:space="preserve">not caused by any party, </w:t>
      </w:r>
      <w:r>
        <w:rPr>
          <w:rStyle w:val="ssrfcpassagedeactivated"/>
          <w:rFonts w:cs="Arial"/>
          <w:color w:val="000000"/>
          <w:bdr w:val="none" w:sz="0" w:space="0" w:color="auto" w:frame="1"/>
        </w:rPr>
        <w:t xml:space="preserve">and COVID. The docket reflects that </w:t>
      </w:r>
      <w:r w:rsidR="007861CD">
        <w:rPr>
          <w:rStyle w:val="ssrfcpassagedeactivated"/>
          <w:rFonts w:cs="Arial"/>
          <w:color w:val="000000"/>
          <w:bdr w:val="none" w:sz="0" w:space="0" w:color="auto" w:frame="1"/>
        </w:rPr>
        <w:t>Hamed</w:t>
      </w:r>
      <w:r>
        <w:rPr>
          <w:rStyle w:val="ssrfcpassagedeactivated"/>
          <w:rFonts w:cs="Arial"/>
          <w:color w:val="000000"/>
          <w:bdr w:val="none" w:sz="0" w:space="0" w:color="auto" w:frame="1"/>
        </w:rPr>
        <w:t xml:space="preserve"> has always responded to filings in a rapid and timely </w:t>
      </w:r>
      <w:r w:rsidR="008B4A17">
        <w:rPr>
          <w:rStyle w:val="ssrfcpassagedeactivated"/>
          <w:rFonts w:cs="Arial"/>
          <w:color w:val="000000"/>
          <w:bdr w:val="none" w:sz="0" w:space="0" w:color="auto" w:frame="1"/>
        </w:rPr>
        <w:t>manner and</w:t>
      </w:r>
      <w:r>
        <w:rPr>
          <w:rStyle w:val="ssrfcpassagedeactivated"/>
          <w:rFonts w:cs="Arial"/>
          <w:color w:val="000000"/>
          <w:bdr w:val="none" w:sz="0" w:space="0" w:color="auto" w:frame="1"/>
        </w:rPr>
        <w:t xml:space="preserve"> has sought to move the case to the best of his ability under difficult circumstances. </w:t>
      </w:r>
    </w:p>
    <w:p w14:paraId="451B547E" w14:textId="2D65E52B" w:rsidR="004A06B4" w:rsidRPr="004A06B4" w:rsidRDefault="004A06B4" w:rsidP="0029702B">
      <w:pPr>
        <w:pStyle w:val="ListParagraph"/>
        <w:numPr>
          <w:ilvl w:val="0"/>
          <w:numId w:val="18"/>
        </w:numPr>
        <w:spacing w:after="0" w:line="240" w:lineRule="auto"/>
        <w:jc w:val="both"/>
        <w:outlineLvl w:val="0"/>
        <w:rPr>
          <w:rFonts w:ascii="Arial" w:hAnsi="Arial" w:cs="Arial"/>
          <w:color w:val="000000"/>
          <w:sz w:val="24"/>
          <w:bdr w:val="none" w:sz="0" w:space="0" w:color="auto" w:frame="1"/>
        </w:rPr>
      </w:pPr>
      <w:r>
        <w:rPr>
          <w:rStyle w:val="ssrfcpassagedeactivated"/>
          <w:rFonts w:ascii="Arial" w:hAnsi="Arial" w:cs="Arial"/>
          <w:color w:val="000000"/>
          <w:sz w:val="24"/>
          <w:bdr w:val="none" w:sz="0" w:space="0" w:color="auto" w:frame="1"/>
        </w:rPr>
        <w:t xml:space="preserve">Davis factor 3 </w:t>
      </w:r>
      <w:r w:rsidR="008365C3">
        <w:rPr>
          <w:rStyle w:val="ssrfcpassagedeactivated"/>
          <w:rFonts w:ascii="Arial" w:hAnsi="Arial" w:cs="Arial"/>
          <w:color w:val="000000"/>
          <w:sz w:val="24"/>
          <w:bdr w:val="none" w:sz="0" w:space="0" w:color="auto" w:frame="1"/>
        </w:rPr>
        <w:t>—</w:t>
      </w:r>
      <w:r>
        <w:rPr>
          <w:rStyle w:val="ssrfcpassagedeactivated"/>
          <w:rFonts w:ascii="Arial" w:hAnsi="Arial" w:cs="Arial"/>
          <w:color w:val="000000"/>
          <w:sz w:val="24"/>
          <w:bdr w:val="none" w:sz="0" w:space="0" w:color="auto" w:frame="1"/>
        </w:rPr>
        <w:t xml:space="preserve"> </w:t>
      </w:r>
      <w:r w:rsidRPr="004A06B4">
        <w:rPr>
          <w:rFonts w:ascii="Arial" w:hAnsi="Arial" w:cs="Arial"/>
          <w:color w:val="000000"/>
          <w:sz w:val="24"/>
        </w:rPr>
        <w:t xml:space="preserve">repeated failure to cure deficiencies </w:t>
      </w:r>
    </w:p>
    <w:p w14:paraId="6AA12001" w14:textId="33443F98" w:rsidR="004A06B4" w:rsidRDefault="004A06B4" w:rsidP="004A06B4">
      <w:pPr>
        <w:pStyle w:val="ListParagraph"/>
        <w:spacing w:after="0" w:line="240" w:lineRule="auto"/>
        <w:ind w:left="2160"/>
        <w:jc w:val="both"/>
        <w:outlineLvl w:val="0"/>
        <w:rPr>
          <w:rFonts w:ascii="Arial" w:hAnsi="Arial" w:cs="Arial"/>
          <w:color w:val="000000"/>
          <w:sz w:val="24"/>
        </w:rPr>
      </w:pPr>
      <w:r>
        <w:rPr>
          <w:rFonts w:ascii="Arial" w:hAnsi="Arial" w:cs="Arial"/>
          <w:color w:val="000000"/>
          <w:sz w:val="24"/>
        </w:rPr>
        <w:t xml:space="preserve">     </w:t>
      </w:r>
      <w:r w:rsidR="0029702B">
        <w:rPr>
          <w:rFonts w:ascii="Arial" w:hAnsi="Arial" w:cs="Arial"/>
          <w:color w:val="000000"/>
          <w:sz w:val="24"/>
        </w:rPr>
        <w:t xml:space="preserve">     </w:t>
      </w:r>
      <w:r w:rsidR="007861CD">
        <w:rPr>
          <w:rFonts w:ascii="Arial" w:hAnsi="Arial" w:cs="Arial"/>
          <w:color w:val="000000"/>
          <w:sz w:val="24"/>
        </w:rPr>
        <w:t xml:space="preserve"> </w:t>
      </w:r>
      <w:r w:rsidRPr="004A06B4">
        <w:rPr>
          <w:rFonts w:ascii="Arial" w:hAnsi="Arial" w:cs="Arial"/>
          <w:color w:val="000000"/>
          <w:sz w:val="24"/>
        </w:rPr>
        <w:t>by amendments previously allowed</w:t>
      </w:r>
    </w:p>
    <w:p w14:paraId="7D1269C2" w14:textId="467028B1" w:rsidR="004A06B4" w:rsidRDefault="004A06B4" w:rsidP="004A06B4">
      <w:pPr>
        <w:pStyle w:val="ListParagraph"/>
        <w:spacing w:after="0" w:line="240" w:lineRule="auto"/>
        <w:ind w:left="2160"/>
        <w:jc w:val="both"/>
        <w:outlineLvl w:val="0"/>
        <w:rPr>
          <w:rFonts w:ascii="Arial" w:hAnsi="Arial" w:cs="Arial"/>
          <w:color w:val="000000"/>
          <w:sz w:val="24"/>
        </w:rPr>
      </w:pPr>
    </w:p>
    <w:p w14:paraId="57D5F9D2" w14:textId="0C22A7C7" w:rsidR="004A06B4" w:rsidRPr="004A06B4" w:rsidRDefault="004A06B4" w:rsidP="004A06B4">
      <w:pPr>
        <w:pStyle w:val="ListParagraph"/>
        <w:spacing w:after="0" w:line="480" w:lineRule="auto"/>
        <w:ind w:left="0"/>
        <w:jc w:val="both"/>
        <w:outlineLvl w:val="0"/>
        <w:rPr>
          <w:rFonts w:ascii="Arial" w:hAnsi="Arial" w:cs="Arial"/>
          <w:color w:val="000000"/>
          <w:sz w:val="24"/>
        </w:rPr>
      </w:pPr>
      <w:r>
        <w:rPr>
          <w:rFonts w:ascii="Arial" w:hAnsi="Arial" w:cs="Arial"/>
          <w:color w:val="000000"/>
          <w:sz w:val="24"/>
        </w:rPr>
        <w:tab/>
        <w:t>Th</w:t>
      </w:r>
      <w:r w:rsidR="00272F71">
        <w:rPr>
          <w:rFonts w:ascii="Arial" w:hAnsi="Arial" w:cs="Arial"/>
          <w:color w:val="000000"/>
          <w:sz w:val="24"/>
        </w:rPr>
        <w:t xml:space="preserve">e complaint in this action was amended once within the </w:t>
      </w:r>
      <w:r w:rsidR="0029702B">
        <w:rPr>
          <w:rFonts w:ascii="Arial" w:hAnsi="Arial" w:cs="Arial"/>
          <w:color w:val="000000"/>
          <w:sz w:val="24"/>
        </w:rPr>
        <w:t xml:space="preserve">permissive </w:t>
      </w:r>
      <w:r w:rsidR="00272F71">
        <w:rPr>
          <w:rFonts w:ascii="Arial" w:hAnsi="Arial" w:cs="Arial"/>
          <w:color w:val="000000"/>
          <w:sz w:val="24"/>
        </w:rPr>
        <w:t xml:space="preserve">time period allowed by </w:t>
      </w:r>
      <w:r w:rsidR="007861CD">
        <w:rPr>
          <w:rFonts w:ascii="Arial" w:hAnsi="Arial" w:cs="Arial"/>
          <w:color w:val="000000"/>
          <w:sz w:val="24"/>
        </w:rPr>
        <w:t xml:space="preserve">part (a) of </w:t>
      </w:r>
      <w:r w:rsidR="00272F71">
        <w:rPr>
          <w:rFonts w:ascii="Arial" w:hAnsi="Arial" w:cs="Arial"/>
          <w:color w:val="000000"/>
          <w:sz w:val="24"/>
        </w:rPr>
        <w:t>the Rule, primarily to add the conversion and civil conspiracy counts.</w:t>
      </w:r>
      <w:r w:rsidR="0029702B">
        <w:rPr>
          <w:rFonts w:ascii="Arial" w:hAnsi="Arial" w:cs="Arial"/>
          <w:color w:val="000000"/>
          <w:sz w:val="24"/>
        </w:rPr>
        <w:t xml:space="preserve"> </w:t>
      </w:r>
      <w:r w:rsidR="007861CD">
        <w:rPr>
          <w:rFonts w:ascii="Arial" w:hAnsi="Arial" w:cs="Arial"/>
          <w:color w:val="000000"/>
          <w:sz w:val="24"/>
        </w:rPr>
        <w:t xml:space="preserve">In addition, Hamed voluntarily withdrew those two additional counts after initial briefings revealed them to by duplicative. </w:t>
      </w:r>
      <w:r w:rsidR="0029702B">
        <w:rPr>
          <w:rFonts w:ascii="Arial" w:hAnsi="Arial" w:cs="Arial"/>
          <w:color w:val="000000"/>
          <w:sz w:val="24"/>
        </w:rPr>
        <w:t xml:space="preserve">No </w:t>
      </w:r>
      <w:r w:rsidR="007861CD">
        <w:rPr>
          <w:rFonts w:ascii="Arial" w:hAnsi="Arial" w:cs="Arial"/>
          <w:color w:val="000000"/>
          <w:sz w:val="24"/>
        </w:rPr>
        <w:t xml:space="preserve">other </w:t>
      </w:r>
      <w:r w:rsidR="0029702B">
        <w:rPr>
          <w:rFonts w:ascii="Arial" w:hAnsi="Arial" w:cs="Arial"/>
          <w:color w:val="000000"/>
          <w:sz w:val="24"/>
        </w:rPr>
        <w:t>amendments have been sought to cure deficiencies.</w:t>
      </w:r>
    </w:p>
    <w:p w14:paraId="6EAAE606" w14:textId="06F2FC73" w:rsidR="0029702B" w:rsidRPr="0029702B" w:rsidRDefault="0029702B" w:rsidP="0029702B">
      <w:pPr>
        <w:pStyle w:val="ListParagraph"/>
        <w:numPr>
          <w:ilvl w:val="0"/>
          <w:numId w:val="18"/>
        </w:numPr>
        <w:spacing w:after="0" w:line="240" w:lineRule="auto"/>
        <w:jc w:val="both"/>
        <w:outlineLvl w:val="0"/>
        <w:rPr>
          <w:rFonts w:ascii="Arial" w:hAnsi="Arial" w:cs="Arial"/>
          <w:color w:val="000000"/>
          <w:sz w:val="24"/>
          <w:szCs w:val="24"/>
          <w:bdr w:val="none" w:sz="0" w:space="0" w:color="auto" w:frame="1"/>
        </w:rPr>
      </w:pPr>
      <w:r w:rsidRPr="0029702B">
        <w:rPr>
          <w:rFonts w:ascii="Arial" w:hAnsi="Arial" w:cs="Arial"/>
          <w:color w:val="000000"/>
          <w:sz w:val="24"/>
          <w:szCs w:val="24"/>
        </w:rPr>
        <w:t xml:space="preserve">Davis factor 4 </w:t>
      </w:r>
      <w:r w:rsidR="008365C3">
        <w:rPr>
          <w:rFonts w:ascii="Arial" w:hAnsi="Arial" w:cs="Arial"/>
          <w:color w:val="000000"/>
          <w:sz w:val="24"/>
          <w:szCs w:val="24"/>
        </w:rPr>
        <w:t>—</w:t>
      </w:r>
      <w:r w:rsidRPr="0029702B">
        <w:rPr>
          <w:rFonts w:ascii="Arial" w:hAnsi="Arial" w:cs="Arial"/>
          <w:color w:val="000000"/>
          <w:sz w:val="24"/>
          <w:szCs w:val="24"/>
        </w:rPr>
        <w:t xml:space="preserve"> undue prejudice to the opposing party </w:t>
      </w:r>
    </w:p>
    <w:p w14:paraId="4B5B900A" w14:textId="016749E3" w:rsidR="004A06B4" w:rsidRDefault="0029702B" w:rsidP="0029702B">
      <w:pPr>
        <w:pStyle w:val="ListParagraph"/>
        <w:spacing w:after="0" w:line="240" w:lineRule="auto"/>
        <w:ind w:left="1080"/>
        <w:jc w:val="both"/>
        <w:outlineLvl w:val="0"/>
        <w:rPr>
          <w:rFonts w:ascii="Arial" w:hAnsi="Arial" w:cs="Arial"/>
          <w:color w:val="000000"/>
          <w:sz w:val="24"/>
          <w:szCs w:val="24"/>
        </w:rPr>
      </w:pPr>
      <w:r>
        <w:rPr>
          <w:rFonts w:ascii="Arial" w:hAnsi="Arial" w:cs="Arial"/>
          <w:color w:val="000000"/>
          <w:sz w:val="24"/>
          <w:szCs w:val="24"/>
        </w:rPr>
        <w:t xml:space="preserve">                          </w:t>
      </w:r>
      <w:r w:rsidR="007861CD">
        <w:rPr>
          <w:rFonts w:ascii="Arial" w:hAnsi="Arial" w:cs="Arial"/>
          <w:color w:val="000000"/>
          <w:sz w:val="24"/>
          <w:szCs w:val="24"/>
        </w:rPr>
        <w:t xml:space="preserve">  </w:t>
      </w:r>
      <w:r w:rsidRPr="0029702B">
        <w:rPr>
          <w:rFonts w:ascii="Arial" w:hAnsi="Arial" w:cs="Arial"/>
          <w:color w:val="000000"/>
          <w:sz w:val="24"/>
          <w:szCs w:val="24"/>
        </w:rPr>
        <w:t>by virtue of allowance of the amendment</w:t>
      </w:r>
    </w:p>
    <w:p w14:paraId="5F7BB8F5" w14:textId="28737E93" w:rsidR="0029702B" w:rsidRDefault="0029702B" w:rsidP="0029702B">
      <w:pPr>
        <w:pStyle w:val="ListParagraph"/>
        <w:spacing w:after="0" w:line="240" w:lineRule="auto"/>
        <w:ind w:left="1080"/>
        <w:jc w:val="both"/>
        <w:outlineLvl w:val="0"/>
        <w:rPr>
          <w:rFonts w:ascii="Arial" w:hAnsi="Arial" w:cs="Arial"/>
          <w:color w:val="000000"/>
          <w:sz w:val="24"/>
          <w:szCs w:val="24"/>
        </w:rPr>
      </w:pPr>
    </w:p>
    <w:p w14:paraId="2EC22931" w14:textId="77777777" w:rsidR="00D57B45" w:rsidRDefault="0029702B" w:rsidP="0029702B">
      <w:pPr>
        <w:spacing w:line="480" w:lineRule="auto"/>
        <w:ind w:firstLine="720"/>
        <w:jc w:val="both"/>
        <w:outlineLvl w:val="0"/>
        <w:rPr>
          <w:rFonts w:cs="Arial"/>
          <w:color w:val="212121"/>
          <w:szCs w:val="18"/>
          <w:shd w:val="clear" w:color="auto" w:fill="FFFFFF"/>
        </w:rPr>
      </w:pPr>
      <w:r w:rsidRPr="006B04AF">
        <w:rPr>
          <w:rFonts w:cs="Arial"/>
        </w:rPr>
        <w:t xml:space="preserve">In </w:t>
      </w:r>
      <w:r w:rsidRPr="006B04AF">
        <w:rPr>
          <w:rFonts w:cs="Arial"/>
          <w:i/>
          <w:iCs/>
          <w:bdr w:val="none" w:sz="0" w:space="0" w:color="auto" w:frame="1"/>
        </w:rPr>
        <w:t>Toussant</w:t>
      </w:r>
      <w:r w:rsidRPr="006B04AF">
        <w:rPr>
          <w:rFonts w:cs="Arial"/>
          <w:color w:val="212121"/>
          <w:szCs w:val="18"/>
          <w:shd w:val="clear" w:color="auto" w:fill="FFFFFF"/>
        </w:rPr>
        <w:t> the V.I. Supreme Court stated that the “trial court's reliance on Toussaint's delay in seeking leave to amend and Stewart's supposed lack of opportunity to respond as justification for striking Toussaint's amended answer and counterclaim was an abuse of discretion.</w:t>
      </w:r>
      <w:r>
        <w:rPr>
          <w:rFonts w:cs="Arial"/>
          <w:color w:val="212121"/>
          <w:szCs w:val="18"/>
          <w:shd w:val="clear" w:color="auto" w:fill="FFFFFF"/>
        </w:rPr>
        <w:t>”</w:t>
      </w:r>
      <w:r w:rsidRPr="006B04AF">
        <w:rPr>
          <w:rFonts w:cs="Arial"/>
          <w:color w:val="212121"/>
          <w:szCs w:val="18"/>
          <w:shd w:val="clear" w:color="auto" w:fill="FFFFFF"/>
        </w:rPr>
        <w:t xml:space="preserve"> There, as here, the movant was already involved in </w:t>
      </w:r>
      <w:r>
        <w:rPr>
          <w:rFonts w:cs="Arial"/>
          <w:color w:val="212121"/>
          <w:szCs w:val="18"/>
          <w:shd w:val="clear" w:color="auto" w:fill="FFFFFF"/>
        </w:rPr>
        <w:t>and fully informed as to the issues presented, albeit in the same case. Because no depositions have begun here</w:t>
      </w:r>
      <w:r w:rsidRPr="006B04AF">
        <w:rPr>
          <w:rFonts w:cs="Arial"/>
          <w:color w:val="212121"/>
          <w:szCs w:val="18"/>
          <w:shd w:val="clear" w:color="auto" w:fill="FFFFFF"/>
        </w:rPr>
        <w:t xml:space="preserve">, “it is difficult to conclude that allowing the amendment would </w:t>
      </w:r>
      <w:r w:rsidR="007861CD">
        <w:rPr>
          <w:rFonts w:cs="Arial"/>
          <w:color w:val="212121"/>
          <w:szCs w:val="18"/>
          <w:shd w:val="clear" w:color="auto" w:fill="FFFFFF"/>
        </w:rPr>
        <w:t xml:space="preserve">[] </w:t>
      </w:r>
      <w:r w:rsidRPr="006B04AF">
        <w:rPr>
          <w:rFonts w:cs="Arial"/>
          <w:color w:val="212121"/>
          <w:szCs w:val="18"/>
          <w:shd w:val="clear" w:color="auto" w:fill="FFFFFF"/>
        </w:rPr>
        <w:t>even remotely disrupt</w:t>
      </w:r>
      <w:r w:rsidR="007861CD">
        <w:rPr>
          <w:rFonts w:cs="Arial"/>
          <w:color w:val="212121"/>
          <w:szCs w:val="18"/>
          <w:shd w:val="clear" w:color="auto" w:fill="FFFFFF"/>
        </w:rPr>
        <w:t>[]</w:t>
      </w:r>
      <w:r w:rsidRPr="006B04AF">
        <w:rPr>
          <w:rFonts w:cs="Arial"/>
          <w:color w:val="212121"/>
          <w:szCs w:val="18"/>
          <w:shd w:val="clear" w:color="auto" w:fill="FFFFFF"/>
        </w:rPr>
        <w:t xml:space="preserve"> the trial court's procedure. . . .” </w:t>
      </w:r>
      <w:r w:rsidRPr="006B04AF">
        <w:rPr>
          <w:rFonts w:cs="Arial"/>
          <w:i/>
          <w:iCs/>
          <w:color w:val="212121"/>
          <w:szCs w:val="18"/>
          <w:shd w:val="clear" w:color="auto" w:fill="FFFFFF"/>
        </w:rPr>
        <w:t>Id</w:t>
      </w:r>
      <w:r w:rsidRPr="006B04AF">
        <w:rPr>
          <w:rFonts w:cs="Arial"/>
          <w:color w:val="212121"/>
          <w:szCs w:val="18"/>
          <w:shd w:val="clear" w:color="auto" w:fill="FFFFFF"/>
        </w:rPr>
        <w:t>. at 949. Moreover, because of the existing</w:t>
      </w:r>
      <w:r w:rsidR="007861CD">
        <w:rPr>
          <w:rFonts w:cs="Arial"/>
          <w:color w:val="212121"/>
          <w:szCs w:val="18"/>
          <w:shd w:val="clear" w:color="auto" w:fill="FFFFFF"/>
        </w:rPr>
        <w:t>, extensive</w:t>
      </w:r>
      <w:r w:rsidRPr="006B04AF">
        <w:rPr>
          <w:rFonts w:cs="Arial"/>
          <w:color w:val="212121"/>
          <w:szCs w:val="18"/>
          <w:shd w:val="clear" w:color="auto" w:fill="FFFFFF"/>
        </w:rPr>
        <w:t xml:space="preserve"> involvement</w:t>
      </w:r>
      <w:r>
        <w:rPr>
          <w:rFonts w:cs="Arial"/>
          <w:color w:val="212121"/>
          <w:szCs w:val="18"/>
          <w:shd w:val="clear" w:color="auto" w:fill="FFFFFF"/>
        </w:rPr>
        <w:t xml:space="preserve"> of Manal’s counsel with Jamil and Isam</w:t>
      </w:r>
      <w:r w:rsidRPr="006B04AF">
        <w:rPr>
          <w:rFonts w:cs="Arial"/>
          <w:color w:val="212121"/>
          <w:szCs w:val="18"/>
          <w:shd w:val="clear" w:color="auto" w:fill="FFFFFF"/>
        </w:rPr>
        <w:t xml:space="preserve">, the amended allegations </w:t>
      </w:r>
      <w:r w:rsidR="007861CD">
        <w:rPr>
          <w:rFonts w:cs="Arial"/>
          <w:color w:val="212121"/>
          <w:szCs w:val="18"/>
          <w:shd w:val="clear" w:color="auto" w:fill="FFFFFF"/>
        </w:rPr>
        <w:t>are factually similar and not</w:t>
      </w:r>
      <w:r w:rsidRPr="006B04AF">
        <w:rPr>
          <w:rFonts w:cs="Arial"/>
          <w:color w:val="212121"/>
          <w:szCs w:val="18"/>
          <w:shd w:val="clear" w:color="auto" w:fill="FFFFFF"/>
        </w:rPr>
        <w:t xml:space="preserve"> a surprise nor prejudicial.</w:t>
      </w:r>
    </w:p>
    <w:p w14:paraId="16A38150" w14:textId="77777777" w:rsidR="00D57B45" w:rsidRDefault="00D57B45">
      <w:pPr>
        <w:rPr>
          <w:rFonts w:cs="Arial"/>
          <w:color w:val="212121"/>
          <w:szCs w:val="18"/>
          <w:shd w:val="clear" w:color="auto" w:fill="FFFFFF"/>
        </w:rPr>
      </w:pPr>
      <w:r>
        <w:rPr>
          <w:rFonts w:cs="Arial"/>
          <w:color w:val="212121"/>
          <w:szCs w:val="18"/>
          <w:shd w:val="clear" w:color="auto" w:fill="FFFFFF"/>
        </w:rPr>
        <w:br w:type="page"/>
      </w:r>
    </w:p>
    <w:p w14:paraId="0D438066" w14:textId="446C50F7" w:rsidR="00D92630" w:rsidRDefault="0029702B" w:rsidP="00D92630">
      <w:pPr>
        <w:pStyle w:val="ListParagraph"/>
        <w:numPr>
          <w:ilvl w:val="0"/>
          <w:numId w:val="18"/>
        </w:numPr>
        <w:spacing w:after="0" w:line="480" w:lineRule="auto"/>
        <w:jc w:val="both"/>
        <w:outlineLvl w:val="0"/>
        <w:rPr>
          <w:rStyle w:val="ssrfcpassagedeactivated"/>
          <w:rFonts w:ascii="Arial" w:hAnsi="Arial" w:cs="Arial"/>
          <w:color w:val="000000"/>
          <w:sz w:val="24"/>
          <w:bdr w:val="none" w:sz="0" w:space="0" w:color="auto" w:frame="1"/>
        </w:rPr>
      </w:pPr>
      <w:r>
        <w:rPr>
          <w:rStyle w:val="ssrfcpassagedeactivated"/>
          <w:rFonts w:ascii="Arial" w:hAnsi="Arial" w:cs="Arial"/>
          <w:color w:val="000000"/>
          <w:sz w:val="24"/>
          <w:bdr w:val="none" w:sz="0" w:space="0" w:color="auto" w:frame="1"/>
        </w:rPr>
        <w:lastRenderedPageBreak/>
        <w:t xml:space="preserve">Davis factor 5 </w:t>
      </w:r>
      <w:r w:rsidR="008365C3">
        <w:rPr>
          <w:rStyle w:val="ssrfcpassagedeactivated"/>
          <w:rFonts w:ascii="Arial" w:hAnsi="Arial" w:cs="Arial"/>
          <w:color w:val="000000"/>
          <w:sz w:val="24"/>
          <w:bdr w:val="none" w:sz="0" w:space="0" w:color="auto" w:frame="1"/>
        </w:rPr>
        <w:t>—</w:t>
      </w:r>
      <w:r>
        <w:rPr>
          <w:rStyle w:val="ssrfcpassagedeactivated"/>
          <w:rFonts w:ascii="Arial" w:hAnsi="Arial" w:cs="Arial"/>
          <w:color w:val="000000"/>
          <w:sz w:val="24"/>
          <w:bdr w:val="none" w:sz="0" w:space="0" w:color="auto" w:frame="1"/>
        </w:rPr>
        <w:t xml:space="preserve"> </w:t>
      </w:r>
      <w:r w:rsidR="00D92630">
        <w:rPr>
          <w:rStyle w:val="ssrfcpassagedeactivated"/>
          <w:rFonts w:ascii="Arial" w:hAnsi="Arial" w:cs="Arial"/>
          <w:color w:val="000000"/>
          <w:sz w:val="24"/>
          <w:bdr w:val="none" w:sz="0" w:space="0" w:color="auto" w:frame="1"/>
        </w:rPr>
        <w:t>Futility</w:t>
      </w:r>
    </w:p>
    <w:p w14:paraId="30A06778" w14:textId="24DC27B7" w:rsidR="00DC26A2" w:rsidRPr="00852759" w:rsidRDefault="00D92630" w:rsidP="0055311B">
      <w:pPr>
        <w:spacing w:line="480" w:lineRule="auto"/>
        <w:ind w:firstLine="720"/>
        <w:jc w:val="both"/>
        <w:outlineLvl w:val="0"/>
        <w:rPr>
          <w:rStyle w:val="ssrfcpassagedeactivated"/>
          <w:rFonts w:cs="Arial"/>
          <w:color w:val="000000"/>
          <w:bdr w:val="none" w:sz="0" w:space="0" w:color="auto" w:frame="1"/>
        </w:rPr>
      </w:pPr>
      <w:r>
        <w:rPr>
          <w:rStyle w:val="ssrfcpassagedeactivated"/>
          <w:rFonts w:cs="Arial"/>
          <w:color w:val="000000"/>
          <w:bdr w:val="none" w:sz="0" w:space="0" w:color="auto" w:frame="1"/>
        </w:rPr>
        <w:t xml:space="preserve">The futility discussed in </w:t>
      </w:r>
      <w:r w:rsidRPr="0078571E">
        <w:rPr>
          <w:rFonts w:cs="Arial"/>
          <w:i/>
          <w:iCs/>
          <w:bdr w:val="none" w:sz="0" w:space="0" w:color="auto" w:frame="1"/>
        </w:rPr>
        <w:t>Basic Servs</w:t>
      </w:r>
      <w:r>
        <w:rPr>
          <w:rFonts w:cs="Arial"/>
          <w:i/>
          <w:iCs/>
          <w:bdr w:val="none" w:sz="0" w:space="0" w:color="auto" w:frame="1"/>
        </w:rPr>
        <w:t xml:space="preserve">. </w:t>
      </w:r>
      <w:r>
        <w:rPr>
          <w:rFonts w:cs="Arial"/>
          <w:bdr w:val="none" w:sz="0" w:space="0" w:color="auto" w:frame="1"/>
        </w:rPr>
        <w:t xml:space="preserve">was legal impossibility because of </w:t>
      </w:r>
      <w:r w:rsidR="000C5E12">
        <w:rPr>
          <w:rFonts w:cs="Arial"/>
          <w:bdr w:val="none" w:sz="0" w:space="0" w:color="auto" w:frame="1"/>
        </w:rPr>
        <w:t>the controlling</w:t>
      </w:r>
      <w:r>
        <w:rPr>
          <w:rFonts w:cs="Arial"/>
          <w:bdr w:val="none" w:sz="0" w:space="0" w:color="auto" w:frame="1"/>
        </w:rPr>
        <w:t xml:space="preserve"> law.</w:t>
      </w:r>
      <w:r w:rsidR="004C28BD">
        <w:rPr>
          <w:rStyle w:val="FootnoteReference"/>
          <w:rFonts w:cs="Arial"/>
          <w:bdr w:val="none" w:sz="0" w:space="0" w:color="auto" w:frame="1"/>
        </w:rPr>
        <w:footnoteReference w:id="9"/>
      </w:r>
      <w:r>
        <w:rPr>
          <w:rFonts w:cs="Arial"/>
          <w:bdr w:val="none" w:sz="0" w:space="0" w:color="auto" w:frame="1"/>
        </w:rPr>
        <w:t xml:space="preserve"> </w:t>
      </w:r>
      <w:r w:rsidR="000C5E12">
        <w:rPr>
          <w:rFonts w:cs="Arial"/>
          <w:bdr w:val="none" w:sz="0" w:space="0" w:color="auto" w:frame="1"/>
        </w:rPr>
        <w:t>There simply was no legal theory by which the movant could prevail</w:t>
      </w:r>
      <w:r w:rsidR="0029702B">
        <w:rPr>
          <w:rFonts w:cs="Arial"/>
          <w:bdr w:val="none" w:sz="0" w:space="0" w:color="auto" w:frame="1"/>
        </w:rPr>
        <w:t>, thus the motion was legally futile.</w:t>
      </w:r>
      <w:r w:rsidR="000C5E12">
        <w:rPr>
          <w:rFonts w:cs="Arial"/>
          <w:bdr w:val="none" w:sz="0" w:space="0" w:color="auto" w:frame="1"/>
        </w:rPr>
        <w:t xml:space="preserve"> </w:t>
      </w:r>
      <w:r>
        <w:rPr>
          <w:rFonts w:cs="Arial"/>
          <w:bdr w:val="none" w:sz="0" w:space="0" w:color="auto" w:frame="1"/>
        </w:rPr>
        <w:t>No such futility exists with regard to Manal here. As all of the opposing parties here have stated, Manal is central to the legal issues</w:t>
      </w:r>
      <w:r w:rsidR="000C5E12">
        <w:rPr>
          <w:rFonts w:cs="Arial"/>
          <w:bdr w:val="none" w:sz="0" w:space="0" w:color="auto" w:frame="1"/>
        </w:rPr>
        <w:t xml:space="preserve"> which have been joined</w:t>
      </w:r>
      <w:r>
        <w:rPr>
          <w:rFonts w:cs="Arial"/>
          <w:bdr w:val="none" w:sz="0" w:space="0" w:color="auto" w:frame="1"/>
        </w:rPr>
        <w:t>.</w:t>
      </w:r>
      <w:r w:rsidR="000C5E12">
        <w:rPr>
          <w:rFonts w:cs="Arial"/>
          <w:bdr w:val="none" w:sz="0" w:space="0" w:color="auto" w:frame="1"/>
        </w:rPr>
        <w:t xml:space="preserve"> </w:t>
      </w:r>
      <w:r w:rsidR="0029702B">
        <w:rPr>
          <w:rFonts w:cs="Arial"/>
          <w:bdr w:val="none" w:sz="0" w:space="0" w:color="auto" w:frame="1"/>
        </w:rPr>
        <w:t>Any insufficiency in the legal theories will be tested elsewhere, in the pending motions to dismiss.</w:t>
      </w:r>
    </w:p>
    <w:p w14:paraId="590D90A0" w14:textId="7DAC5E2E" w:rsidR="00171EF8" w:rsidRDefault="00171EF8" w:rsidP="0055311B">
      <w:pPr>
        <w:pStyle w:val="ListParagraph"/>
        <w:numPr>
          <w:ilvl w:val="0"/>
          <w:numId w:val="13"/>
        </w:numPr>
        <w:spacing w:after="0" w:line="480" w:lineRule="auto"/>
        <w:jc w:val="both"/>
        <w:outlineLvl w:val="0"/>
        <w:rPr>
          <w:rStyle w:val="ssrfcpassagedeactivated"/>
          <w:rFonts w:ascii="Arial" w:hAnsi="Arial" w:cs="Arial"/>
          <w:b/>
          <w:bCs/>
          <w:color w:val="000000"/>
          <w:sz w:val="24"/>
          <w:bdr w:val="none" w:sz="0" w:space="0" w:color="auto" w:frame="1"/>
        </w:rPr>
      </w:pPr>
      <w:r w:rsidRPr="0055311B">
        <w:rPr>
          <w:rStyle w:val="ssrfcpassagedeactivated"/>
          <w:rFonts w:ascii="Arial" w:hAnsi="Arial" w:cs="Arial"/>
          <w:b/>
          <w:bCs/>
          <w:color w:val="000000"/>
          <w:sz w:val="24"/>
          <w:bdr w:val="none" w:sz="0" w:space="0" w:color="auto" w:frame="1"/>
        </w:rPr>
        <w:t>Conclusion</w:t>
      </w:r>
    </w:p>
    <w:p w14:paraId="58A601D9" w14:textId="7DF59A20" w:rsidR="00344E94" w:rsidRPr="00344E94" w:rsidRDefault="00344E94" w:rsidP="00344E94">
      <w:pPr>
        <w:spacing w:line="480" w:lineRule="auto"/>
        <w:ind w:firstLine="720"/>
        <w:jc w:val="both"/>
        <w:outlineLvl w:val="0"/>
        <w:rPr>
          <w:rStyle w:val="ssrfcpassagedeactivated"/>
          <w:rFonts w:cs="Arial"/>
          <w:color w:val="000000"/>
          <w:bdr w:val="none" w:sz="0" w:space="0" w:color="auto" w:frame="1"/>
        </w:rPr>
      </w:pPr>
      <w:r w:rsidRPr="00344E94">
        <w:rPr>
          <w:rStyle w:val="ssrfcpassagedeactivated"/>
          <w:rFonts w:cs="Arial"/>
          <w:color w:val="000000"/>
          <w:bdr w:val="none" w:sz="0" w:space="0" w:color="auto" w:frame="1"/>
        </w:rPr>
        <w:t xml:space="preserve">Based on the liberal text of the Rule, the </w:t>
      </w:r>
      <w:r>
        <w:rPr>
          <w:rStyle w:val="ssrfcpassagedeactivated"/>
          <w:rFonts w:cs="Arial"/>
          <w:color w:val="000000"/>
          <w:bdr w:val="none" w:sz="0" w:space="0" w:color="auto" w:frame="1"/>
        </w:rPr>
        <w:t>ea</w:t>
      </w:r>
      <w:r w:rsidR="00767136">
        <w:rPr>
          <w:rStyle w:val="ssrfcpassagedeactivated"/>
          <w:rFonts w:cs="Arial"/>
          <w:color w:val="000000"/>
          <w:bdr w:val="none" w:sz="0" w:space="0" w:color="auto" w:frame="1"/>
        </w:rPr>
        <w:t xml:space="preserve">rly </w:t>
      </w:r>
      <w:r w:rsidRPr="00344E94">
        <w:rPr>
          <w:rStyle w:val="ssrfcpassagedeactivated"/>
          <w:rFonts w:cs="Arial"/>
          <w:color w:val="000000"/>
          <w:bdr w:val="none" w:sz="0" w:space="0" w:color="auto" w:frame="1"/>
        </w:rPr>
        <w:t xml:space="preserve">stage of the proceedings, the prior statements of </w:t>
      </w:r>
      <w:r w:rsidR="00767136">
        <w:rPr>
          <w:rStyle w:val="ssrfcpassagedeactivated"/>
          <w:rFonts w:cs="Arial"/>
          <w:color w:val="000000"/>
          <w:bdr w:val="none" w:sz="0" w:space="0" w:color="auto" w:frame="1"/>
        </w:rPr>
        <w:t xml:space="preserve">all of </w:t>
      </w:r>
      <w:r w:rsidRPr="00344E94">
        <w:rPr>
          <w:rStyle w:val="ssrfcpassagedeactivated"/>
          <w:rFonts w:cs="Arial"/>
          <w:color w:val="000000"/>
          <w:bdr w:val="none" w:sz="0" w:space="0" w:color="auto" w:frame="1"/>
        </w:rPr>
        <w:t xml:space="preserve">the </w:t>
      </w:r>
      <w:r w:rsidR="00767136">
        <w:rPr>
          <w:rStyle w:val="ssrfcpassagedeactivated"/>
          <w:rFonts w:cs="Arial"/>
          <w:color w:val="000000"/>
          <w:bdr w:val="none" w:sz="0" w:space="0" w:color="auto" w:frame="1"/>
        </w:rPr>
        <w:t>defendants</w:t>
      </w:r>
      <w:r w:rsidRPr="00344E94">
        <w:rPr>
          <w:rStyle w:val="ssrfcpassagedeactivated"/>
          <w:rFonts w:cs="Arial"/>
          <w:color w:val="000000"/>
          <w:bdr w:val="none" w:sz="0" w:space="0" w:color="auto" w:frame="1"/>
        </w:rPr>
        <w:t xml:space="preserve"> that she should be a party here and the commonality of the related defendants and their counsel, this appears to be a perfect situation for amendment.</w:t>
      </w:r>
    </w:p>
    <w:p w14:paraId="54F29BD3" w14:textId="23D9EBAF" w:rsidR="00767136" w:rsidRDefault="00344E94" w:rsidP="00344E94">
      <w:pPr>
        <w:spacing w:line="480" w:lineRule="auto"/>
        <w:ind w:firstLine="720"/>
        <w:jc w:val="both"/>
        <w:outlineLvl w:val="0"/>
        <w:rPr>
          <w:rStyle w:val="ssrfcpassagedeactivated"/>
          <w:rFonts w:cs="Arial"/>
          <w:color w:val="000000"/>
          <w:bdr w:val="none" w:sz="0" w:space="0" w:color="auto" w:frame="1"/>
        </w:rPr>
      </w:pPr>
      <w:r w:rsidRPr="00344E94">
        <w:rPr>
          <w:rStyle w:val="ssrfcpassagedeactivated"/>
          <w:rFonts w:cs="Arial"/>
          <w:color w:val="000000"/>
          <w:bdr w:val="none" w:sz="0" w:space="0" w:color="auto" w:frame="1"/>
        </w:rPr>
        <w:t xml:space="preserve">The proposed </w:t>
      </w:r>
      <w:r w:rsidRPr="00767136">
        <w:rPr>
          <w:rStyle w:val="ssrfcpassagedeactivated"/>
          <w:rFonts w:cs="Arial"/>
          <w:i/>
          <w:iCs/>
          <w:color w:val="000000"/>
          <w:bdr w:val="none" w:sz="0" w:space="0" w:color="auto" w:frame="1"/>
        </w:rPr>
        <w:t>Second Amended Complaint</w:t>
      </w:r>
      <w:r w:rsidRPr="00344E94">
        <w:rPr>
          <w:rStyle w:val="ssrfcpassagedeactivated"/>
          <w:rFonts w:cs="Arial"/>
          <w:color w:val="000000"/>
          <w:bdr w:val="none" w:sz="0" w:space="0" w:color="auto" w:frame="1"/>
        </w:rPr>
        <w:t xml:space="preserve"> is attached as </w:t>
      </w:r>
      <w:r w:rsidRPr="00767136">
        <w:rPr>
          <w:rStyle w:val="ssrfcpassagedeactivated"/>
          <w:rFonts w:cs="Arial"/>
          <w:b/>
          <w:bCs/>
          <w:color w:val="000000"/>
          <w:bdr w:val="none" w:sz="0" w:space="0" w:color="auto" w:frame="1"/>
        </w:rPr>
        <w:t>Exhibit A</w:t>
      </w:r>
      <w:r w:rsidRPr="00344E94">
        <w:rPr>
          <w:rStyle w:val="ssrfcpassagedeactivated"/>
          <w:rFonts w:cs="Arial"/>
          <w:color w:val="000000"/>
          <w:bdr w:val="none" w:sz="0" w:space="0" w:color="auto" w:frame="1"/>
        </w:rPr>
        <w:t>,</w:t>
      </w:r>
      <w:r w:rsidR="00767136">
        <w:rPr>
          <w:rStyle w:val="FootnoteReference"/>
          <w:rFonts w:cs="Arial"/>
          <w:color w:val="000000"/>
          <w:bdr w:val="none" w:sz="0" w:space="0" w:color="auto" w:frame="1"/>
        </w:rPr>
        <w:footnoteReference w:id="10"/>
      </w:r>
      <w:r w:rsidRPr="00344E94">
        <w:rPr>
          <w:rStyle w:val="ssrfcpassagedeactivated"/>
          <w:rFonts w:cs="Arial"/>
          <w:color w:val="000000"/>
          <w:bdr w:val="none" w:sz="0" w:space="0" w:color="auto" w:frame="1"/>
        </w:rPr>
        <w:t xml:space="preserve"> and the redline of that document is attached as </w:t>
      </w:r>
      <w:r w:rsidRPr="00767136">
        <w:rPr>
          <w:rStyle w:val="ssrfcpassagedeactivated"/>
          <w:rFonts w:cs="Arial"/>
          <w:b/>
          <w:bCs/>
          <w:color w:val="000000"/>
          <w:bdr w:val="none" w:sz="0" w:space="0" w:color="auto" w:frame="1"/>
        </w:rPr>
        <w:t>Exhibit B</w:t>
      </w:r>
      <w:r w:rsidRPr="00344E94">
        <w:rPr>
          <w:rStyle w:val="ssrfcpassagedeactivated"/>
          <w:rFonts w:cs="Arial"/>
          <w:color w:val="000000"/>
          <w:bdr w:val="none" w:sz="0" w:space="0" w:color="auto" w:frame="1"/>
        </w:rPr>
        <w:t xml:space="preserve">. A proposed order is attached as </w:t>
      </w:r>
      <w:r w:rsidRPr="00767136">
        <w:rPr>
          <w:rStyle w:val="ssrfcpassagedeactivated"/>
          <w:rFonts w:cs="Arial"/>
          <w:b/>
          <w:bCs/>
          <w:color w:val="000000"/>
          <w:bdr w:val="none" w:sz="0" w:space="0" w:color="auto" w:frame="1"/>
        </w:rPr>
        <w:t>Exhibit C</w:t>
      </w:r>
      <w:r w:rsidR="00767136">
        <w:rPr>
          <w:rStyle w:val="ssrfcpassagedeactivated"/>
          <w:rFonts w:cs="Arial"/>
          <w:color w:val="000000"/>
          <w:bdr w:val="none" w:sz="0" w:space="0" w:color="auto" w:frame="1"/>
        </w:rPr>
        <w:t>.</w:t>
      </w:r>
    </w:p>
    <w:p w14:paraId="7A335B7B" w14:textId="77777777" w:rsidR="00767136" w:rsidRDefault="00767136">
      <w:pPr>
        <w:rPr>
          <w:rStyle w:val="ssrfcpassagedeactivated"/>
          <w:rFonts w:cs="Arial"/>
          <w:color w:val="000000"/>
          <w:bdr w:val="none" w:sz="0" w:space="0" w:color="auto" w:frame="1"/>
        </w:rPr>
      </w:pPr>
      <w:r>
        <w:rPr>
          <w:rStyle w:val="ssrfcpassagedeactivated"/>
          <w:rFonts w:cs="Arial"/>
          <w:color w:val="000000"/>
          <w:bdr w:val="none" w:sz="0" w:space="0" w:color="auto" w:frame="1"/>
        </w:rPr>
        <w:br w:type="page"/>
      </w:r>
    </w:p>
    <w:p w14:paraId="513875DF" w14:textId="77777777" w:rsidR="005F69BB" w:rsidRDefault="005F69BB" w:rsidP="0004301D">
      <w:pPr>
        <w:ind w:left="5040"/>
        <w:rPr>
          <w:rFonts w:cs="Arial"/>
          <w:bCs/>
        </w:rPr>
      </w:pPr>
    </w:p>
    <w:p w14:paraId="4A1FDBDF" w14:textId="18CDE222" w:rsidR="00165F72" w:rsidRDefault="00165F72" w:rsidP="0004301D">
      <w:pPr>
        <w:ind w:left="5040"/>
        <w:rPr>
          <w:rFonts w:cs="Arial"/>
          <w:b/>
        </w:rPr>
      </w:pPr>
      <w:r w:rsidRPr="00AB711E">
        <w:rPr>
          <w:rFonts w:cs="Arial"/>
          <w:b/>
        </w:rPr>
        <w:t xml:space="preserve">Counsel for </w:t>
      </w:r>
      <w:r w:rsidR="00033207">
        <w:rPr>
          <w:rFonts w:cs="Arial"/>
          <w:b/>
        </w:rPr>
        <w:t>Hisham Hamed</w:t>
      </w:r>
    </w:p>
    <w:p w14:paraId="19EEDDDB" w14:textId="7BC1DB12" w:rsidR="00033207" w:rsidRDefault="00033207" w:rsidP="00033207">
      <w:pPr>
        <w:ind w:left="4320" w:firstLine="720"/>
        <w:rPr>
          <w:rFonts w:cs="Arial"/>
          <w:b/>
        </w:rPr>
      </w:pPr>
    </w:p>
    <w:p w14:paraId="7F7C9112" w14:textId="2A20C094" w:rsidR="004C3DB7" w:rsidRPr="00EF18A1" w:rsidRDefault="004C3DB7" w:rsidP="004C3DB7">
      <w:pPr>
        <w:autoSpaceDE w:val="0"/>
        <w:autoSpaceDN w:val="0"/>
        <w:adjustRightInd w:val="0"/>
        <w:jc w:val="both"/>
        <w:outlineLvl w:val="0"/>
        <w:rPr>
          <w:rFonts w:cs="Arial"/>
          <w:color w:val="222A35" w:themeColor="text2" w:themeShade="80"/>
          <w:sz w:val="72"/>
          <w:szCs w:val="72"/>
        </w:rPr>
      </w:pPr>
      <w:r w:rsidRPr="005C742C">
        <w:rPr>
          <w:rFonts w:cs="Arial"/>
          <w:b/>
        </w:rPr>
        <w:t>Dated:</w:t>
      </w:r>
      <w:r>
        <w:rPr>
          <w:rFonts w:cs="Arial"/>
        </w:rPr>
        <w:t xml:space="preserve"> </w:t>
      </w:r>
      <w:r w:rsidR="009C05CC">
        <w:rPr>
          <w:rFonts w:cs="Arial"/>
        </w:rPr>
        <w:t xml:space="preserve">December </w:t>
      </w:r>
      <w:r w:rsidR="00D57B45">
        <w:rPr>
          <w:rFonts w:cs="Arial"/>
        </w:rPr>
        <w:t>18</w:t>
      </w:r>
      <w:r>
        <w:rPr>
          <w:rFonts w:cs="Arial"/>
        </w:rPr>
        <w:t>, 2022</w:t>
      </w:r>
      <w:r>
        <w:rPr>
          <w:rFonts w:cs="Arial"/>
        </w:rPr>
        <w:tab/>
      </w:r>
      <w:r>
        <w:rPr>
          <w:rFonts w:cs="Arial"/>
        </w:rPr>
        <w:tab/>
      </w:r>
      <w:r>
        <w:rPr>
          <w:rFonts w:cs="Arial"/>
        </w:rPr>
        <w:tab/>
      </w:r>
      <w:r w:rsidRPr="00B269E7">
        <w:rPr>
          <w:rFonts w:ascii="CarlHartmann" w:hAnsi="CarlHartmann" w:cs="Arial"/>
          <w:b/>
          <w:bCs/>
          <w:color w:val="0070C0"/>
          <w:sz w:val="72"/>
          <w:szCs w:val="72"/>
        </w:rPr>
        <w:t>A</w:t>
      </w:r>
    </w:p>
    <w:p w14:paraId="68D65433" w14:textId="0C946A47" w:rsidR="004C3DB7" w:rsidRPr="005C742C" w:rsidRDefault="004C3DB7" w:rsidP="004C3DB7">
      <w:pPr>
        <w:autoSpaceDE w:val="0"/>
        <w:autoSpaceDN w:val="0"/>
        <w:adjustRightInd w:val="0"/>
        <w:jc w:val="both"/>
        <w:rPr>
          <w:rFonts w:cs="Arial"/>
          <w:b/>
        </w:rPr>
      </w:pPr>
      <w:r w:rsidRPr="005C742C">
        <w:rPr>
          <w:rFonts w:cs="Arial"/>
        </w:rPr>
        <w:tab/>
      </w:r>
      <w:r w:rsidRPr="005C742C">
        <w:rPr>
          <w:rFonts w:cs="Arial"/>
        </w:rPr>
        <w:tab/>
      </w:r>
      <w:r w:rsidRPr="005C742C">
        <w:rPr>
          <w:rFonts w:cs="Arial"/>
        </w:rPr>
        <w:tab/>
      </w:r>
      <w:r>
        <w:rPr>
          <w:rFonts w:cs="Arial"/>
        </w:rPr>
        <w:tab/>
      </w:r>
      <w:r>
        <w:rPr>
          <w:rFonts w:cs="Arial"/>
        </w:rPr>
        <w:tab/>
      </w:r>
      <w:r>
        <w:rPr>
          <w:rFonts w:cs="Arial"/>
        </w:rPr>
        <w:tab/>
      </w:r>
      <w:r>
        <w:rPr>
          <w:rFonts w:cs="Arial"/>
        </w:rPr>
        <w:tab/>
      </w:r>
      <w:r w:rsidRPr="005C742C">
        <w:rPr>
          <w:rFonts w:cs="Arial"/>
          <w:b/>
        </w:rPr>
        <w:t>Carl J. Hartmann III, Esq.</w:t>
      </w:r>
      <w:r w:rsidRPr="0004301D">
        <w:rPr>
          <w:rFonts w:cs="Arial"/>
          <w:bCs/>
        </w:rPr>
        <w:t xml:space="preserve"> </w:t>
      </w:r>
      <w:r w:rsidR="0004301D" w:rsidRPr="0004301D">
        <w:rPr>
          <w:rFonts w:cs="Arial"/>
          <w:bCs/>
        </w:rPr>
        <w:t>(Bar #48)</w:t>
      </w:r>
    </w:p>
    <w:p w14:paraId="016921B1" w14:textId="4E841B27" w:rsidR="004C3DB7" w:rsidRPr="005C742C" w:rsidRDefault="004C3DB7" w:rsidP="004C3DB7">
      <w:pPr>
        <w:rPr>
          <w:rFonts w:cs="Arial"/>
          <w:i/>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i/>
        </w:rPr>
        <w:t xml:space="preserve">Co-Counsel for </w:t>
      </w:r>
      <w:r w:rsidR="0004301D">
        <w:rPr>
          <w:rFonts w:cs="Arial"/>
          <w:i/>
        </w:rPr>
        <w:t>Hisham Hamed</w:t>
      </w:r>
    </w:p>
    <w:p w14:paraId="393E2BC3" w14:textId="3D1275D8" w:rsidR="004C3DB7" w:rsidRPr="005C742C"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2940 Brookwind Dr,</w:t>
      </w:r>
    </w:p>
    <w:p w14:paraId="2121B4FB" w14:textId="083FAEAC" w:rsidR="004C3DB7" w:rsidRDefault="004C3DB7" w:rsidP="004C3DB7">
      <w:pPr>
        <w:rPr>
          <w:rFonts w:cs="Arial"/>
        </w:rPr>
      </w:pP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sidRPr="005C742C">
        <w:rPr>
          <w:rFonts w:cs="Arial"/>
        </w:rPr>
        <w:tab/>
      </w:r>
      <w:r>
        <w:rPr>
          <w:rFonts w:cs="Arial"/>
        </w:rPr>
        <w:t>Holland, MI 49424</w:t>
      </w:r>
    </w:p>
    <w:p w14:paraId="2528B7A9" w14:textId="34BDDBD1" w:rsidR="004C3DB7" w:rsidRPr="005C742C" w:rsidRDefault="004C3DB7" w:rsidP="004C3DB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Telephone: (340) 642-4422</w:t>
      </w:r>
    </w:p>
    <w:p w14:paraId="261A83E5" w14:textId="77777777" w:rsidR="004C3DB7" w:rsidRDefault="004C3DB7" w:rsidP="0004301D">
      <w:pPr>
        <w:ind w:left="5040"/>
        <w:jc w:val="both"/>
        <w:rPr>
          <w:rFonts w:cs="Arial"/>
        </w:rPr>
      </w:pPr>
      <w:r w:rsidRPr="005C742C">
        <w:rPr>
          <w:rFonts w:cs="Arial"/>
        </w:rPr>
        <w:t xml:space="preserve">Email: </w:t>
      </w:r>
      <w:r w:rsidRPr="002211EE">
        <w:rPr>
          <w:rFonts w:cs="Arial"/>
        </w:rPr>
        <w:t>carl@carlhartmann.com</w:t>
      </w:r>
    </w:p>
    <w:p w14:paraId="579E6AAA" w14:textId="736EF2BE" w:rsidR="004C3DB7" w:rsidRDefault="004C3DB7" w:rsidP="00B370E9">
      <w:pPr>
        <w:jc w:val="both"/>
        <w:rPr>
          <w:rFonts w:cs="Arial"/>
        </w:rPr>
      </w:pPr>
    </w:p>
    <w:p w14:paraId="74D4AEBA" w14:textId="72A6B957" w:rsidR="00165F72" w:rsidRDefault="00165F72" w:rsidP="004C3DB7">
      <w:pPr>
        <w:ind w:left="2160" w:firstLine="720"/>
        <w:jc w:val="both"/>
        <w:rPr>
          <w:rFonts w:cs="Arial"/>
          <w:bCs/>
        </w:rPr>
      </w:pPr>
      <w:r w:rsidRPr="0021322F">
        <w:rPr>
          <w:rFonts w:cs="Arial"/>
          <w:i/>
        </w:rPr>
        <w:tab/>
      </w:r>
      <w:r w:rsidRPr="0021322F">
        <w:rPr>
          <w:rFonts w:cs="Arial"/>
          <w:i/>
        </w:rPr>
        <w:tab/>
      </w:r>
      <w:r w:rsidRPr="0021322F">
        <w:rPr>
          <w:rFonts w:cs="Arial"/>
          <w:i/>
        </w:rPr>
        <w:tab/>
      </w:r>
      <w:r w:rsidRPr="00D96C5C">
        <w:rPr>
          <w:rFonts w:cs="Arial"/>
          <w:b/>
        </w:rPr>
        <w:t>Joel H. Holt, Esq. (</w:t>
      </w:r>
      <w:r w:rsidRPr="00033207">
        <w:rPr>
          <w:rFonts w:cs="Arial"/>
          <w:bCs/>
        </w:rPr>
        <w:t>Bar # 6)</w:t>
      </w:r>
    </w:p>
    <w:p w14:paraId="01212556" w14:textId="56A94825" w:rsidR="0004301D" w:rsidRPr="0004301D" w:rsidRDefault="0004301D" w:rsidP="004C3DB7">
      <w:pPr>
        <w:ind w:left="2160" w:firstLine="720"/>
        <w:jc w:val="both"/>
        <w:rPr>
          <w:rFonts w:cs="Arial"/>
          <w:bCs/>
          <w:i/>
          <w:iCs/>
        </w:rPr>
      </w:pPr>
      <w:r>
        <w:rPr>
          <w:rFonts w:cs="Arial"/>
          <w:b/>
        </w:rPr>
        <w:tab/>
      </w:r>
      <w:r>
        <w:rPr>
          <w:rFonts w:cs="Arial"/>
          <w:b/>
        </w:rPr>
        <w:tab/>
      </w:r>
      <w:r>
        <w:rPr>
          <w:rFonts w:cs="Arial"/>
          <w:b/>
        </w:rPr>
        <w:tab/>
      </w:r>
      <w:r w:rsidRPr="0004301D">
        <w:rPr>
          <w:rFonts w:cs="Arial"/>
          <w:bCs/>
          <w:i/>
          <w:iCs/>
        </w:rPr>
        <w:t>Counsel for Hisham Hamed</w:t>
      </w:r>
    </w:p>
    <w:p w14:paraId="1E401639" w14:textId="3745FF86"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00DC6A24" w:rsidRPr="00D96C5C">
        <w:rPr>
          <w:rFonts w:cs="Arial"/>
        </w:rPr>
        <w:t>LAW OFFICES OF JOEL H. HOLT</w:t>
      </w:r>
    </w:p>
    <w:p w14:paraId="1BA15DE7"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2132 Company Street,</w:t>
      </w:r>
    </w:p>
    <w:p w14:paraId="189C2E8D"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Christiansted, Vl 00820</w:t>
      </w:r>
    </w:p>
    <w:p w14:paraId="3AB2A393" w14:textId="77777777" w:rsidR="00165F72" w:rsidRPr="00D96C5C"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t>Email: holtvi@aol.com</w:t>
      </w:r>
    </w:p>
    <w:p w14:paraId="723A1BC3" w14:textId="77777777" w:rsidR="00165F72" w:rsidRDefault="00165F72" w:rsidP="00165F72">
      <w:pPr>
        <w:rPr>
          <w:rFonts w:cs="Arial"/>
        </w:rPr>
      </w:pP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sidRPr="00D96C5C">
        <w:rPr>
          <w:rFonts w:cs="Arial"/>
        </w:rPr>
        <w:tab/>
      </w:r>
      <w:r>
        <w:rPr>
          <w:rFonts w:cs="Arial"/>
        </w:rPr>
        <w:t>Phone</w:t>
      </w:r>
      <w:r w:rsidRPr="00D96C5C">
        <w:rPr>
          <w:rFonts w:cs="Arial"/>
        </w:rPr>
        <w:t xml:space="preserve">: (340) 773-8709/ </w:t>
      </w:r>
    </w:p>
    <w:p w14:paraId="7E5117C6" w14:textId="3137ADF5" w:rsidR="0004301D" w:rsidRDefault="00165F72" w:rsidP="00EA37CC">
      <w:pPr>
        <w:ind w:left="4320" w:firstLine="720"/>
        <w:rPr>
          <w:rFonts w:cs="Arial"/>
        </w:rPr>
      </w:pPr>
      <w:r w:rsidRPr="00D96C5C">
        <w:rPr>
          <w:rFonts w:cs="Arial"/>
        </w:rPr>
        <w:t>F</w:t>
      </w:r>
      <w:r>
        <w:rPr>
          <w:rFonts w:cs="Arial"/>
        </w:rPr>
        <w:t>ax</w:t>
      </w:r>
      <w:r w:rsidRPr="00D96C5C">
        <w:rPr>
          <w:rFonts w:cs="Arial"/>
        </w:rPr>
        <w:t>: (340) 773-8677</w:t>
      </w:r>
      <w:r w:rsidR="0004301D">
        <w:rPr>
          <w:rFonts w:cs="Arial"/>
        </w:rPr>
        <w:br w:type="page"/>
      </w:r>
    </w:p>
    <w:p w14:paraId="7E109977" w14:textId="77777777" w:rsidR="000C40D7" w:rsidRPr="00E3793A" w:rsidRDefault="000C40D7" w:rsidP="000C40D7">
      <w:pPr>
        <w:pStyle w:val="Heading4"/>
        <w:spacing w:before="118"/>
        <w:jc w:val="center"/>
        <w:rPr>
          <w:rFonts w:ascii="Arial" w:hAnsi="Arial" w:cs="Arial"/>
          <w:b/>
          <w:bCs/>
          <w:i w:val="0"/>
          <w:iCs w:val="0"/>
          <w:color w:val="000000" w:themeColor="text1"/>
          <w:spacing w:val="-2"/>
          <w:w w:val="95"/>
          <w:sz w:val="24"/>
          <w:szCs w:val="24"/>
        </w:rPr>
      </w:pPr>
      <w:r w:rsidRPr="00E3793A">
        <w:rPr>
          <w:rFonts w:ascii="Arial" w:hAnsi="Arial" w:cs="Arial"/>
          <w:b/>
          <w:bCs/>
          <w:i w:val="0"/>
          <w:iCs w:val="0"/>
          <w:color w:val="000000" w:themeColor="text1"/>
          <w:w w:val="95"/>
          <w:sz w:val="24"/>
          <w:szCs w:val="24"/>
        </w:rPr>
        <w:lastRenderedPageBreak/>
        <w:t>CERTIFICATE</w:t>
      </w:r>
      <w:r w:rsidRPr="00E3793A">
        <w:rPr>
          <w:rFonts w:ascii="Arial" w:hAnsi="Arial" w:cs="Arial"/>
          <w:b/>
          <w:bCs/>
          <w:i w:val="0"/>
          <w:iCs w:val="0"/>
          <w:color w:val="000000" w:themeColor="text1"/>
          <w:spacing w:val="4"/>
          <w:sz w:val="24"/>
          <w:szCs w:val="24"/>
        </w:rPr>
        <w:t xml:space="preserve"> </w:t>
      </w:r>
      <w:r w:rsidRPr="00E3793A">
        <w:rPr>
          <w:rFonts w:ascii="Arial" w:hAnsi="Arial" w:cs="Arial"/>
          <w:b/>
          <w:bCs/>
          <w:i w:val="0"/>
          <w:iCs w:val="0"/>
          <w:color w:val="000000" w:themeColor="text1"/>
          <w:w w:val="95"/>
          <w:sz w:val="24"/>
          <w:szCs w:val="24"/>
        </w:rPr>
        <w:t>OF</w:t>
      </w:r>
      <w:r w:rsidRPr="00E3793A">
        <w:rPr>
          <w:rFonts w:ascii="Arial" w:hAnsi="Arial" w:cs="Arial"/>
          <w:b/>
          <w:bCs/>
          <w:i w:val="0"/>
          <w:iCs w:val="0"/>
          <w:color w:val="000000" w:themeColor="text1"/>
          <w:spacing w:val="15"/>
          <w:sz w:val="24"/>
          <w:szCs w:val="24"/>
        </w:rPr>
        <w:t xml:space="preserve"> </w:t>
      </w:r>
      <w:r w:rsidRPr="00E3793A">
        <w:rPr>
          <w:rFonts w:ascii="Arial" w:hAnsi="Arial" w:cs="Arial"/>
          <w:b/>
          <w:bCs/>
          <w:i w:val="0"/>
          <w:iCs w:val="0"/>
          <w:color w:val="000000" w:themeColor="text1"/>
          <w:spacing w:val="-2"/>
          <w:w w:val="95"/>
          <w:sz w:val="24"/>
          <w:szCs w:val="24"/>
        </w:rPr>
        <w:t>SERVICE</w:t>
      </w:r>
    </w:p>
    <w:p w14:paraId="5DDC65F0" w14:textId="77777777" w:rsidR="000C40D7" w:rsidRDefault="000C40D7" w:rsidP="000C40D7">
      <w:pPr>
        <w:ind w:firstLine="720"/>
        <w:jc w:val="both"/>
        <w:outlineLvl w:val="0"/>
        <w:rPr>
          <w:rFonts w:cs="Arial"/>
          <w:color w:val="000000" w:themeColor="text1"/>
          <w:position w:val="1"/>
        </w:rPr>
      </w:pPr>
    </w:p>
    <w:p w14:paraId="6B3F7DD4" w14:textId="3561362F" w:rsidR="000C40D7" w:rsidRPr="00E3793A" w:rsidRDefault="000C40D7" w:rsidP="000C40D7">
      <w:pPr>
        <w:spacing w:line="480" w:lineRule="auto"/>
        <w:ind w:firstLine="720"/>
        <w:jc w:val="both"/>
        <w:outlineLvl w:val="0"/>
        <w:rPr>
          <w:rFonts w:cs="Arial"/>
          <w:color w:val="000000" w:themeColor="text1"/>
        </w:rPr>
      </w:pPr>
      <w:r w:rsidRPr="00E3793A">
        <w:rPr>
          <w:rFonts w:cs="Arial"/>
          <w:color w:val="000000" w:themeColor="text1"/>
          <w:position w:val="1"/>
        </w:rPr>
        <w:t xml:space="preserve">I </w:t>
      </w:r>
      <w:r w:rsidRPr="00E3793A">
        <w:rPr>
          <w:rFonts w:cs="Arial"/>
          <w:color w:val="000000" w:themeColor="text1"/>
        </w:rPr>
        <w:t>hereby</w:t>
      </w:r>
      <w:r w:rsidRPr="00E3793A">
        <w:rPr>
          <w:rFonts w:cs="Arial"/>
          <w:color w:val="000000" w:themeColor="text1"/>
          <w:spacing w:val="-8"/>
        </w:rPr>
        <w:t xml:space="preserve"> </w:t>
      </w:r>
      <w:r w:rsidRPr="00E3793A">
        <w:rPr>
          <w:rFonts w:cs="Arial"/>
          <w:color w:val="000000" w:themeColor="text1"/>
        </w:rPr>
        <w:t>certify</w:t>
      </w:r>
      <w:r w:rsidRPr="00E3793A">
        <w:rPr>
          <w:rFonts w:cs="Arial"/>
          <w:color w:val="000000" w:themeColor="text1"/>
          <w:spacing w:val="-8"/>
        </w:rPr>
        <w:t xml:space="preserve"> </w:t>
      </w:r>
      <w:r w:rsidRPr="00E3793A">
        <w:rPr>
          <w:rFonts w:cs="Arial"/>
          <w:color w:val="000000" w:themeColor="text1"/>
        </w:rPr>
        <w:t>that</w:t>
      </w:r>
      <w:r w:rsidRPr="00E3793A">
        <w:rPr>
          <w:rFonts w:cs="Arial"/>
          <w:color w:val="000000" w:themeColor="text1"/>
          <w:spacing w:val="-6"/>
        </w:rPr>
        <w:t xml:space="preserve"> </w:t>
      </w:r>
      <w:r w:rsidRPr="00E3793A">
        <w:rPr>
          <w:rFonts w:cs="Arial"/>
          <w:color w:val="000000" w:themeColor="text1"/>
        </w:rPr>
        <w:t>this</w:t>
      </w:r>
      <w:r w:rsidRPr="00E3793A">
        <w:rPr>
          <w:rFonts w:cs="Arial"/>
          <w:color w:val="000000" w:themeColor="text1"/>
          <w:spacing w:val="-8"/>
        </w:rPr>
        <w:t xml:space="preserve"> </w:t>
      </w:r>
      <w:r w:rsidRPr="00E3793A">
        <w:rPr>
          <w:rFonts w:cs="Arial"/>
          <w:color w:val="000000" w:themeColor="text1"/>
        </w:rPr>
        <w:t>document</w:t>
      </w:r>
      <w:r w:rsidRPr="00E3793A">
        <w:rPr>
          <w:rFonts w:cs="Arial"/>
          <w:color w:val="000000" w:themeColor="text1"/>
          <w:spacing w:val="-8"/>
        </w:rPr>
        <w:t xml:space="preserve"> </w:t>
      </w:r>
      <w:r w:rsidRPr="00E3793A">
        <w:rPr>
          <w:rFonts w:cs="Arial"/>
          <w:color w:val="000000" w:themeColor="text1"/>
        </w:rPr>
        <w:t>complies</w:t>
      </w:r>
      <w:r w:rsidRPr="00E3793A">
        <w:rPr>
          <w:rFonts w:cs="Arial"/>
          <w:color w:val="000000" w:themeColor="text1"/>
          <w:spacing w:val="-8"/>
        </w:rPr>
        <w:t xml:space="preserve"> </w:t>
      </w:r>
      <w:r w:rsidRPr="00E3793A">
        <w:rPr>
          <w:rFonts w:cs="Arial"/>
          <w:color w:val="000000" w:themeColor="text1"/>
        </w:rPr>
        <w:t>with</w:t>
      </w:r>
      <w:r w:rsidRPr="00E3793A">
        <w:rPr>
          <w:rFonts w:cs="Arial"/>
          <w:color w:val="000000" w:themeColor="text1"/>
          <w:spacing w:val="-6"/>
        </w:rPr>
        <w:t xml:space="preserve"> </w:t>
      </w:r>
      <w:r w:rsidRPr="00E3793A">
        <w:rPr>
          <w:rFonts w:cs="Arial"/>
          <w:color w:val="000000" w:themeColor="text1"/>
        </w:rPr>
        <w:t>the</w:t>
      </w:r>
      <w:r w:rsidRPr="00E3793A">
        <w:rPr>
          <w:rFonts w:cs="Arial"/>
          <w:color w:val="000000" w:themeColor="text1"/>
          <w:spacing w:val="-5"/>
        </w:rPr>
        <w:t xml:space="preserve"> </w:t>
      </w:r>
      <w:r w:rsidRPr="00E3793A">
        <w:rPr>
          <w:rFonts w:cs="Arial"/>
          <w:color w:val="000000" w:themeColor="text1"/>
        </w:rPr>
        <w:t>page</w:t>
      </w:r>
      <w:r w:rsidRPr="00E3793A">
        <w:rPr>
          <w:rFonts w:cs="Arial"/>
          <w:color w:val="000000" w:themeColor="text1"/>
          <w:spacing w:val="-3"/>
        </w:rPr>
        <w:t xml:space="preserve"> </w:t>
      </w:r>
      <w:r>
        <w:rPr>
          <w:rFonts w:cs="Arial"/>
          <w:color w:val="000000" w:themeColor="text1"/>
        </w:rPr>
        <w:t>and</w:t>
      </w:r>
      <w:r w:rsidRPr="00E3793A">
        <w:rPr>
          <w:rFonts w:cs="Arial"/>
          <w:color w:val="000000" w:themeColor="text1"/>
          <w:spacing w:val="-7"/>
        </w:rPr>
        <w:t xml:space="preserve"> </w:t>
      </w:r>
      <w:r w:rsidRPr="00E3793A">
        <w:rPr>
          <w:rFonts w:cs="Arial"/>
          <w:color w:val="000000" w:themeColor="text1"/>
        </w:rPr>
        <w:t>word</w:t>
      </w:r>
      <w:r w:rsidRPr="00E3793A">
        <w:rPr>
          <w:rFonts w:cs="Arial"/>
          <w:color w:val="000000" w:themeColor="text1"/>
          <w:spacing w:val="-3"/>
        </w:rPr>
        <w:t xml:space="preserve"> </w:t>
      </w:r>
      <w:r w:rsidRPr="00E3793A">
        <w:rPr>
          <w:rFonts w:cs="Arial"/>
          <w:color w:val="000000" w:themeColor="text1"/>
        </w:rPr>
        <w:t>limitation</w:t>
      </w:r>
      <w:r>
        <w:rPr>
          <w:rFonts w:cs="Arial"/>
          <w:color w:val="000000" w:themeColor="text1"/>
        </w:rPr>
        <w:t>s</w:t>
      </w:r>
      <w:r w:rsidRPr="00E3793A">
        <w:rPr>
          <w:rFonts w:cs="Arial"/>
          <w:color w:val="000000" w:themeColor="text1"/>
        </w:rPr>
        <w:t xml:space="preserve"> set forth in Rule 6-1(e) and that on </w:t>
      </w:r>
      <w:r w:rsidR="009C05CC">
        <w:rPr>
          <w:rFonts w:cs="Arial"/>
          <w:b/>
          <w:bCs/>
          <w:color w:val="000000" w:themeColor="text1"/>
        </w:rPr>
        <w:t xml:space="preserve">December </w:t>
      </w:r>
      <w:r w:rsidR="00D57B45">
        <w:rPr>
          <w:rFonts w:cs="Arial"/>
          <w:b/>
          <w:bCs/>
          <w:color w:val="000000" w:themeColor="text1"/>
        </w:rPr>
        <w:t>18</w:t>
      </w:r>
      <w:r w:rsidRPr="000C40D7">
        <w:rPr>
          <w:rFonts w:cs="Arial"/>
          <w:b/>
          <w:bCs/>
          <w:color w:val="000000" w:themeColor="text1"/>
        </w:rPr>
        <w:t>, 2022</w:t>
      </w:r>
      <w:r w:rsidRPr="00E3793A">
        <w:rPr>
          <w:rFonts w:cs="Arial"/>
          <w:color w:val="000000" w:themeColor="text1"/>
        </w:rPr>
        <w:t xml:space="preserve">, I served a copy of the foregoing by </w:t>
      </w:r>
      <w:r w:rsidR="0004301D">
        <w:rPr>
          <w:rFonts w:cs="Arial"/>
          <w:color w:val="000000" w:themeColor="text1"/>
        </w:rPr>
        <w:t xml:space="preserve">email and </w:t>
      </w:r>
      <w:r>
        <w:rPr>
          <w:rFonts w:cs="Arial"/>
          <w:color w:val="000000" w:themeColor="text1"/>
        </w:rPr>
        <w:t>the Court’s E-File system</w:t>
      </w:r>
      <w:r w:rsidRPr="00E3793A">
        <w:rPr>
          <w:rFonts w:cs="Arial"/>
          <w:color w:val="000000" w:themeColor="text1"/>
        </w:rPr>
        <w:t>, as agreed by the parties</w:t>
      </w:r>
      <w:r w:rsidR="0004301D">
        <w:rPr>
          <w:rFonts w:cs="Arial"/>
          <w:color w:val="000000" w:themeColor="text1"/>
        </w:rPr>
        <w:t>, to:</w:t>
      </w:r>
    </w:p>
    <w:p w14:paraId="257A9643" w14:textId="77777777" w:rsidR="00165F72" w:rsidRPr="000C40D7" w:rsidRDefault="00165F72" w:rsidP="000C40D7">
      <w:pPr>
        <w:jc w:val="both"/>
        <w:outlineLvl w:val="0"/>
        <w:rPr>
          <w:rFonts w:cs="Arial"/>
          <w:w w:val="105"/>
        </w:rPr>
      </w:pPr>
      <w:r w:rsidRPr="000C40D7">
        <w:rPr>
          <w:rFonts w:cs="Arial"/>
          <w:b/>
          <w:bCs/>
          <w:w w:val="105"/>
        </w:rPr>
        <w:t xml:space="preserve">James Hymes </w:t>
      </w:r>
      <w:r w:rsidRPr="000C40D7">
        <w:rPr>
          <w:rFonts w:cs="Arial"/>
          <w:b/>
          <w:w w:val="105"/>
        </w:rPr>
        <w:t>III</w:t>
      </w:r>
      <w:r w:rsidRPr="000C40D7">
        <w:rPr>
          <w:rFonts w:cs="Arial"/>
          <w:w w:val="105"/>
        </w:rPr>
        <w:t xml:space="preserve">, </w:t>
      </w:r>
      <w:r w:rsidRPr="000C40D7">
        <w:rPr>
          <w:rFonts w:cs="Arial"/>
          <w:b/>
          <w:w w:val="105"/>
        </w:rPr>
        <w:t>Esq.</w:t>
      </w:r>
    </w:p>
    <w:p w14:paraId="6AE348DA" w14:textId="4CA8EB5A" w:rsidR="00165F72" w:rsidRPr="000C40D7" w:rsidRDefault="00165F72" w:rsidP="000C40D7">
      <w:pPr>
        <w:kinsoku w:val="0"/>
        <w:overflowPunct w:val="0"/>
        <w:adjustRightInd w:val="0"/>
        <w:jc w:val="both"/>
        <w:outlineLvl w:val="0"/>
        <w:rPr>
          <w:rFonts w:cs="Arial"/>
          <w:i/>
          <w:iCs/>
          <w:w w:val="105"/>
        </w:rPr>
      </w:pPr>
      <w:r w:rsidRPr="000C40D7">
        <w:rPr>
          <w:rFonts w:cs="Arial"/>
          <w:i/>
          <w:iCs/>
          <w:w w:val="105"/>
        </w:rPr>
        <w:t xml:space="preserve">Counsel for </w:t>
      </w:r>
      <w:r w:rsidR="000C40D7">
        <w:rPr>
          <w:rFonts w:cs="Arial"/>
          <w:i/>
          <w:iCs/>
          <w:w w:val="105"/>
        </w:rPr>
        <w:t xml:space="preserve">Defendants </w:t>
      </w:r>
      <w:r w:rsidRPr="000C40D7">
        <w:rPr>
          <w:rFonts w:cs="Arial"/>
          <w:i/>
          <w:iCs/>
          <w:w w:val="105"/>
        </w:rPr>
        <w:t>Isam and Jamil Yous</w:t>
      </w:r>
      <w:r w:rsidR="00033207" w:rsidRPr="000C40D7">
        <w:rPr>
          <w:rFonts w:cs="Arial"/>
          <w:i/>
          <w:iCs/>
          <w:w w:val="105"/>
        </w:rPr>
        <w:t>u</w:t>
      </w:r>
      <w:r w:rsidRPr="000C40D7">
        <w:rPr>
          <w:rFonts w:cs="Arial"/>
          <w:i/>
          <w:iCs/>
          <w:w w:val="105"/>
        </w:rPr>
        <w:t>f</w:t>
      </w:r>
    </w:p>
    <w:p w14:paraId="56A9DE1F" w14:textId="77777777" w:rsidR="00033207" w:rsidRPr="000C40D7" w:rsidRDefault="00165F72" w:rsidP="000C40D7">
      <w:pPr>
        <w:adjustRightInd w:val="0"/>
        <w:jc w:val="both"/>
        <w:outlineLvl w:val="0"/>
        <w:rPr>
          <w:rFonts w:cs="Arial"/>
        </w:rPr>
      </w:pPr>
      <w:r w:rsidRPr="000C40D7">
        <w:rPr>
          <w:rFonts w:cs="Arial"/>
        </w:rPr>
        <w:t xml:space="preserve">LAW OFFICES OF JAMES L. </w:t>
      </w:r>
    </w:p>
    <w:p w14:paraId="2C6EBC19" w14:textId="10B25A69" w:rsidR="00165F72" w:rsidRPr="000C40D7" w:rsidRDefault="00033207" w:rsidP="000C40D7">
      <w:pPr>
        <w:adjustRightInd w:val="0"/>
        <w:jc w:val="both"/>
        <w:outlineLvl w:val="0"/>
        <w:rPr>
          <w:rFonts w:cs="Arial"/>
        </w:rPr>
      </w:pPr>
      <w:r w:rsidRPr="000C40D7">
        <w:rPr>
          <w:rFonts w:cs="Arial"/>
        </w:rPr>
        <w:t xml:space="preserve">    </w:t>
      </w:r>
      <w:r w:rsidR="00165F72" w:rsidRPr="000C40D7">
        <w:rPr>
          <w:rFonts w:cs="Arial"/>
        </w:rPr>
        <w:t>HYMES, III, P.C.</w:t>
      </w:r>
    </w:p>
    <w:p w14:paraId="2F32C9F3" w14:textId="77777777" w:rsidR="00165F72" w:rsidRPr="000C40D7" w:rsidRDefault="00165F72" w:rsidP="000C40D7">
      <w:pPr>
        <w:adjustRightInd w:val="0"/>
        <w:jc w:val="both"/>
        <w:outlineLvl w:val="0"/>
        <w:rPr>
          <w:rFonts w:cs="Arial"/>
        </w:rPr>
      </w:pPr>
      <w:r w:rsidRPr="000C40D7">
        <w:rPr>
          <w:rFonts w:cs="Arial"/>
        </w:rPr>
        <w:t>P.O. Box 990</w:t>
      </w:r>
    </w:p>
    <w:p w14:paraId="4A7A31F7" w14:textId="77777777" w:rsidR="00165F72" w:rsidRPr="000C40D7" w:rsidRDefault="00165F72" w:rsidP="000C40D7">
      <w:pPr>
        <w:adjustRightInd w:val="0"/>
        <w:jc w:val="both"/>
        <w:outlineLvl w:val="0"/>
        <w:rPr>
          <w:rFonts w:cs="Arial"/>
        </w:rPr>
      </w:pPr>
      <w:r w:rsidRPr="000C40D7">
        <w:rPr>
          <w:rFonts w:cs="Arial"/>
        </w:rPr>
        <w:t>St. Thomas, VI 00804-0990</w:t>
      </w:r>
    </w:p>
    <w:p w14:paraId="4CDB9D88" w14:textId="77777777" w:rsidR="00165F72" w:rsidRPr="000C40D7" w:rsidRDefault="00165F72" w:rsidP="000C40D7">
      <w:pPr>
        <w:adjustRightInd w:val="0"/>
        <w:jc w:val="both"/>
        <w:outlineLvl w:val="0"/>
        <w:rPr>
          <w:rFonts w:cs="Arial"/>
        </w:rPr>
      </w:pPr>
      <w:r w:rsidRPr="000C40D7">
        <w:rPr>
          <w:rFonts w:cs="Arial"/>
        </w:rPr>
        <w:t>Tel: (340) 776-3470</w:t>
      </w:r>
    </w:p>
    <w:p w14:paraId="20374B37" w14:textId="77777777" w:rsidR="00165F72" w:rsidRPr="000C40D7" w:rsidRDefault="00165F72" w:rsidP="000C40D7">
      <w:pPr>
        <w:adjustRightInd w:val="0"/>
        <w:jc w:val="both"/>
        <w:outlineLvl w:val="0"/>
        <w:rPr>
          <w:rFonts w:cs="Arial"/>
        </w:rPr>
      </w:pPr>
      <w:r w:rsidRPr="000C40D7">
        <w:rPr>
          <w:rFonts w:cs="Arial"/>
        </w:rPr>
        <w:t>Fax: (340) 775-3300</w:t>
      </w:r>
    </w:p>
    <w:p w14:paraId="044D4A89" w14:textId="1C819605" w:rsidR="00165F72" w:rsidRPr="000C40D7" w:rsidRDefault="00B370E9" w:rsidP="000C40D7">
      <w:pPr>
        <w:jc w:val="both"/>
        <w:outlineLvl w:val="0"/>
        <w:rPr>
          <w:rFonts w:cs="Arial"/>
          <w:lang w:val="fr-FR"/>
        </w:rPr>
      </w:pPr>
      <w:r w:rsidRPr="000C40D7">
        <w:rPr>
          <w:rFonts w:cs="Arial"/>
          <w:lang w:val="fr-FR"/>
        </w:rPr>
        <w:t>jim@hymeslawvi.com</w:t>
      </w:r>
    </w:p>
    <w:p w14:paraId="24311D2C" w14:textId="0759B949" w:rsidR="00165F72" w:rsidRPr="000C40D7" w:rsidRDefault="00165F72" w:rsidP="000C40D7">
      <w:pPr>
        <w:kinsoku w:val="0"/>
        <w:overflowPunct w:val="0"/>
        <w:adjustRightInd w:val="0"/>
        <w:jc w:val="both"/>
        <w:outlineLvl w:val="0"/>
        <w:rPr>
          <w:rFonts w:cs="Arial"/>
          <w:color w:val="313131"/>
          <w:w w:val="105"/>
        </w:rPr>
      </w:pPr>
    </w:p>
    <w:p w14:paraId="21B69C73" w14:textId="37507F94"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Charlotte </w:t>
      </w:r>
      <w:r w:rsidR="008B717C" w:rsidRPr="000C40D7">
        <w:rPr>
          <w:rFonts w:cs="Arial"/>
          <w:b/>
          <w:w w:val="105"/>
        </w:rPr>
        <w:t xml:space="preserve">K. </w:t>
      </w:r>
      <w:r w:rsidRPr="000C40D7">
        <w:rPr>
          <w:rFonts w:cs="Arial"/>
          <w:b/>
          <w:w w:val="105"/>
        </w:rPr>
        <w:t>Perrell, Esq.</w:t>
      </w:r>
    </w:p>
    <w:p w14:paraId="759CB5A0" w14:textId="5D4F54CE" w:rsidR="00165F72" w:rsidRPr="000C40D7" w:rsidRDefault="00165F72" w:rsidP="000C40D7">
      <w:pPr>
        <w:kinsoku w:val="0"/>
        <w:overflowPunct w:val="0"/>
        <w:adjustRightInd w:val="0"/>
        <w:jc w:val="both"/>
        <w:outlineLvl w:val="0"/>
        <w:rPr>
          <w:rFonts w:cs="Arial"/>
          <w:b/>
          <w:w w:val="105"/>
        </w:rPr>
      </w:pPr>
      <w:r w:rsidRPr="000C40D7">
        <w:rPr>
          <w:rFonts w:cs="Arial"/>
          <w:b/>
          <w:w w:val="105"/>
        </w:rPr>
        <w:t xml:space="preserve">Stefan </w:t>
      </w:r>
      <w:r w:rsidR="008B717C" w:rsidRPr="000C40D7">
        <w:rPr>
          <w:rFonts w:cs="Arial"/>
          <w:b/>
          <w:w w:val="105"/>
        </w:rPr>
        <w:t xml:space="preserve">B. </w:t>
      </w:r>
      <w:r w:rsidRPr="000C40D7">
        <w:rPr>
          <w:rFonts w:cs="Arial"/>
          <w:b/>
          <w:w w:val="105"/>
        </w:rPr>
        <w:t>Herpel, Esq.</w:t>
      </w:r>
    </w:p>
    <w:p w14:paraId="07BA0993" w14:textId="3474FC88" w:rsidR="00165F72" w:rsidRPr="000C40D7" w:rsidRDefault="00DC6A24" w:rsidP="000C40D7">
      <w:pPr>
        <w:kinsoku w:val="0"/>
        <w:overflowPunct w:val="0"/>
        <w:adjustRightInd w:val="0"/>
        <w:jc w:val="both"/>
        <w:outlineLvl w:val="0"/>
        <w:rPr>
          <w:rFonts w:cs="Arial"/>
          <w:i/>
          <w:w w:val="105"/>
        </w:rPr>
      </w:pPr>
      <w:r w:rsidRPr="000C40D7">
        <w:rPr>
          <w:rFonts w:cs="Arial"/>
          <w:i/>
          <w:w w:val="105"/>
        </w:rPr>
        <w:t>Counsel</w:t>
      </w:r>
      <w:r w:rsidR="00165F72" w:rsidRPr="000C40D7">
        <w:rPr>
          <w:rFonts w:cs="Arial"/>
          <w:i/>
          <w:w w:val="105"/>
        </w:rPr>
        <w:t xml:space="preserve"> for</w:t>
      </w:r>
      <w:r w:rsidR="00033207" w:rsidRPr="000C40D7">
        <w:rPr>
          <w:rFonts w:cs="Arial"/>
          <w:i/>
          <w:w w:val="105"/>
        </w:rPr>
        <w:t xml:space="preserve"> Defenda</w:t>
      </w:r>
      <w:r w:rsidRPr="000C40D7">
        <w:rPr>
          <w:rFonts w:cs="Arial"/>
          <w:i/>
          <w:w w:val="105"/>
        </w:rPr>
        <w:t>n</w:t>
      </w:r>
      <w:r w:rsidR="00033207" w:rsidRPr="000C40D7">
        <w:rPr>
          <w:rFonts w:cs="Arial"/>
          <w:i/>
          <w:w w:val="105"/>
        </w:rPr>
        <w:t>t</w:t>
      </w:r>
      <w:r w:rsidR="00165F72" w:rsidRPr="000C40D7">
        <w:rPr>
          <w:rFonts w:cs="Arial"/>
          <w:i/>
          <w:w w:val="105"/>
        </w:rPr>
        <w:t xml:space="preserve"> Fathi Yusuf</w:t>
      </w:r>
    </w:p>
    <w:p w14:paraId="2065DD6A"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DUDLEY NEWMAN </w:t>
      </w:r>
    </w:p>
    <w:p w14:paraId="070E12FD" w14:textId="2036C562" w:rsidR="00165F72" w:rsidRPr="000C40D7" w:rsidRDefault="00033207" w:rsidP="000C40D7">
      <w:pPr>
        <w:adjustRightInd w:val="0"/>
        <w:jc w:val="both"/>
        <w:outlineLvl w:val="0"/>
        <w:rPr>
          <w:rFonts w:cs="Arial"/>
          <w:color w:val="212121"/>
        </w:rPr>
      </w:pPr>
      <w:r w:rsidRPr="000C40D7">
        <w:rPr>
          <w:rFonts w:cs="Arial"/>
          <w:color w:val="212121"/>
        </w:rPr>
        <w:t xml:space="preserve">    </w:t>
      </w:r>
      <w:r w:rsidR="00165F72" w:rsidRPr="000C40D7">
        <w:rPr>
          <w:rFonts w:cs="Arial"/>
          <w:color w:val="212121"/>
        </w:rPr>
        <w:t>FEUERZEIG LLP</w:t>
      </w:r>
    </w:p>
    <w:p w14:paraId="3A0F75F9" w14:textId="77777777" w:rsidR="00033207" w:rsidRPr="000C40D7" w:rsidRDefault="00165F72" w:rsidP="000C40D7">
      <w:pPr>
        <w:adjustRightInd w:val="0"/>
        <w:jc w:val="both"/>
        <w:outlineLvl w:val="0"/>
        <w:rPr>
          <w:rFonts w:cs="Arial"/>
          <w:color w:val="212121"/>
        </w:rPr>
      </w:pPr>
      <w:r w:rsidRPr="000C40D7">
        <w:rPr>
          <w:rFonts w:cs="Arial"/>
          <w:color w:val="212121"/>
        </w:rPr>
        <w:t xml:space="preserve">Law House </w:t>
      </w:r>
    </w:p>
    <w:p w14:paraId="41FB2B6F" w14:textId="703EF37A" w:rsidR="00165F72" w:rsidRPr="000C40D7" w:rsidRDefault="00165F72" w:rsidP="000C40D7">
      <w:pPr>
        <w:adjustRightInd w:val="0"/>
        <w:jc w:val="both"/>
        <w:outlineLvl w:val="0"/>
        <w:rPr>
          <w:rFonts w:cs="Arial"/>
          <w:color w:val="212121"/>
        </w:rPr>
      </w:pPr>
      <w:r w:rsidRPr="000C40D7">
        <w:rPr>
          <w:rFonts w:cs="Arial"/>
          <w:color w:val="212121"/>
        </w:rPr>
        <w:t>1000 Frederiksberg Gade</w:t>
      </w:r>
    </w:p>
    <w:p w14:paraId="5BBE0BA7" w14:textId="77777777" w:rsidR="00165F72" w:rsidRPr="000C40D7" w:rsidRDefault="00165F72" w:rsidP="000C40D7">
      <w:pPr>
        <w:adjustRightInd w:val="0"/>
        <w:jc w:val="both"/>
        <w:outlineLvl w:val="0"/>
        <w:rPr>
          <w:rFonts w:cs="Arial"/>
          <w:color w:val="212121"/>
        </w:rPr>
      </w:pPr>
      <w:r w:rsidRPr="000C40D7">
        <w:rPr>
          <w:rFonts w:cs="Arial"/>
          <w:color w:val="212121"/>
        </w:rPr>
        <w:t>P.O. Box 756</w:t>
      </w:r>
    </w:p>
    <w:p w14:paraId="24D1E6B4" w14:textId="77777777" w:rsidR="00165F72" w:rsidRPr="000C40D7" w:rsidRDefault="00165F72" w:rsidP="000C40D7">
      <w:pPr>
        <w:adjustRightInd w:val="0"/>
        <w:jc w:val="both"/>
        <w:outlineLvl w:val="0"/>
        <w:rPr>
          <w:rFonts w:cs="Arial"/>
          <w:color w:val="212121"/>
        </w:rPr>
      </w:pPr>
      <w:r w:rsidRPr="000C40D7">
        <w:rPr>
          <w:rFonts w:cs="Arial"/>
          <w:color w:val="212121"/>
        </w:rPr>
        <w:t>St. Thomas, VI 00804-0756</w:t>
      </w:r>
    </w:p>
    <w:p w14:paraId="238C437C" w14:textId="77777777" w:rsidR="00165F72" w:rsidRPr="000C40D7" w:rsidRDefault="00165F72" w:rsidP="000C40D7">
      <w:pPr>
        <w:adjustRightInd w:val="0"/>
        <w:jc w:val="both"/>
        <w:outlineLvl w:val="0"/>
        <w:rPr>
          <w:rFonts w:cs="Arial"/>
        </w:rPr>
      </w:pPr>
      <w:r w:rsidRPr="000C40D7">
        <w:rPr>
          <w:rFonts w:cs="Arial"/>
        </w:rPr>
        <w:t>Tel: (340) 774-4422</w:t>
      </w:r>
    </w:p>
    <w:p w14:paraId="646C438E" w14:textId="051B3892" w:rsidR="000C40D7" w:rsidRDefault="000C40D7" w:rsidP="000C40D7">
      <w:pPr>
        <w:adjustRightInd w:val="0"/>
        <w:jc w:val="both"/>
        <w:outlineLvl w:val="0"/>
        <w:rPr>
          <w:rFonts w:cs="Arial"/>
        </w:rPr>
      </w:pPr>
      <w:r w:rsidRPr="000C40D7">
        <w:rPr>
          <w:rFonts w:cs="Arial"/>
        </w:rPr>
        <w:t>cperrell@dnfvi.com</w:t>
      </w:r>
      <w:r w:rsidR="00165F72" w:rsidRPr="000C40D7">
        <w:rPr>
          <w:rFonts w:cs="Arial"/>
        </w:rPr>
        <w:t xml:space="preserve">, </w:t>
      </w:r>
    </w:p>
    <w:p w14:paraId="7E506289" w14:textId="7C87684D" w:rsidR="008B717C" w:rsidRPr="000C40D7" w:rsidRDefault="00DC6A24" w:rsidP="000C40D7">
      <w:pPr>
        <w:adjustRightInd w:val="0"/>
        <w:jc w:val="both"/>
        <w:outlineLvl w:val="0"/>
        <w:rPr>
          <w:rFonts w:cs="Arial"/>
        </w:rPr>
      </w:pPr>
      <w:r w:rsidRPr="000C40D7">
        <w:rPr>
          <w:rFonts w:cs="Arial"/>
        </w:rPr>
        <w:t>sherpel@dnfvi.com</w:t>
      </w:r>
    </w:p>
    <w:p w14:paraId="0A8CB47F" w14:textId="7B415433" w:rsidR="00DC6A24" w:rsidRPr="000C40D7" w:rsidRDefault="00DC6A24" w:rsidP="000C40D7">
      <w:pPr>
        <w:adjustRightInd w:val="0"/>
        <w:jc w:val="both"/>
        <w:outlineLvl w:val="0"/>
        <w:rPr>
          <w:rFonts w:cs="Arial"/>
        </w:rPr>
      </w:pPr>
    </w:p>
    <w:p w14:paraId="0EE3467C" w14:textId="77777777" w:rsidR="00DC6A24" w:rsidRPr="000C40D7" w:rsidRDefault="00DC6A24" w:rsidP="000C40D7">
      <w:pPr>
        <w:adjustRightInd w:val="0"/>
        <w:jc w:val="both"/>
        <w:outlineLvl w:val="0"/>
        <w:rPr>
          <w:rFonts w:eastAsiaTheme="minorHAnsi" w:cs="Arial"/>
          <w:b/>
          <w:bCs/>
        </w:rPr>
      </w:pPr>
      <w:r w:rsidRPr="000C40D7">
        <w:rPr>
          <w:rFonts w:eastAsiaTheme="minorHAnsi" w:cs="Arial"/>
          <w:b/>
          <w:bCs/>
        </w:rPr>
        <w:t xml:space="preserve">Kevin A. Rames, Esq. </w:t>
      </w:r>
    </w:p>
    <w:p w14:paraId="5202C52F" w14:textId="77777777" w:rsidR="00DC6A24" w:rsidRPr="000C40D7" w:rsidRDefault="00DC6A24" w:rsidP="000C40D7">
      <w:pPr>
        <w:adjustRightInd w:val="0"/>
        <w:jc w:val="both"/>
        <w:outlineLvl w:val="0"/>
        <w:rPr>
          <w:rFonts w:eastAsiaTheme="minorHAnsi" w:cs="Arial"/>
          <w:i/>
          <w:iCs/>
        </w:rPr>
      </w:pPr>
      <w:r w:rsidRPr="000C40D7">
        <w:rPr>
          <w:rFonts w:eastAsiaTheme="minorHAnsi" w:cs="Arial"/>
          <w:i/>
          <w:iCs/>
        </w:rPr>
        <w:t xml:space="preserve">Counsel for Nominal Defendant </w:t>
      </w:r>
    </w:p>
    <w:p w14:paraId="72342378" w14:textId="6C33A08E" w:rsidR="00DC6A24" w:rsidRPr="000C40D7" w:rsidRDefault="00DC6A24" w:rsidP="000C40D7">
      <w:pPr>
        <w:adjustRightInd w:val="0"/>
        <w:jc w:val="both"/>
        <w:outlineLvl w:val="0"/>
        <w:rPr>
          <w:rFonts w:cs="Arial"/>
          <w:i/>
          <w:iCs/>
        </w:rPr>
      </w:pPr>
      <w:r w:rsidRPr="000C40D7">
        <w:rPr>
          <w:rFonts w:eastAsiaTheme="minorHAnsi" w:cs="Arial"/>
          <w:i/>
          <w:iCs/>
        </w:rPr>
        <w:t xml:space="preserve">     Sixteen Plus Corporation</w:t>
      </w:r>
    </w:p>
    <w:p w14:paraId="554198B8" w14:textId="114CEF52"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2111 Company Street, Suite 3</w:t>
      </w:r>
    </w:p>
    <w:p w14:paraId="508CBADC" w14:textId="77777777"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Christiansted, VI 00820</w:t>
      </w:r>
    </w:p>
    <w:p w14:paraId="41E978F7" w14:textId="7CBE0560" w:rsidR="00DC6A24" w:rsidRPr="000C40D7" w:rsidRDefault="00DC6A24" w:rsidP="000C40D7">
      <w:pPr>
        <w:autoSpaceDE w:val="0"/>
        <w:autoSpaceDN w:val="0"/>
        <w:adjustRightInd w:val="0"/>
        <w:jc w:val="both"/>
        <w:outlineLvl w:val="0"/>
        <w:rPr>
          <w:rFonts w:eastAsiaTheme="minorHAnsi" w:cs="Arial"/>
        </w:rPr>
      </w:pPr>
      <w:r w:rsidRPr="000C40D7">
        <w:rPr>
          <w:rFonts w:eastAsiaTheme="minorHAnsi" w:cs="Arial"/>
        </w:rPr>
        <w:t>Phone: (340) 773-7284</w:t>
      </w:r>
    </w:p>
    <w:p w14:paraId="34D27CEA" w14:textId="71B94F40" w:rsidR="00DC6A24" w:rsidRDefault="00DC6A24" w:rsidP="000C40D7">
      <w:pPr>
        <w:autoSpaceDE w:val="0"/>
        <w:autoSpaceDN w:val="0"/>
        <w:adjustRightInd w:val="0"/>
        <w:jc w:val="both"/>
        <w:outlineLvl w:val="0"/>
        <w:rPr>
          <w:rFonts w:eastAsiaTheme="minorHAnsi" w:cs="Arial"/>
        </w:rPr>
      </w:pPr>
      <w:r w:rsidRPr="000C40D7">
        <w:rPr>
          <w:rFonts w:eastAsiaTheme="minorHAnsi" w:cs="Arial"/>
        </w:rPr>
        <w:t>Fax: (340) 773 -7282</w:t>
      </w:r>
    </w:p>
    <w:p w14:paraId="6D224D72" w14:textId="62481186" w:rsidR="000C40D7" w:rsidRPr="000C40D7" w:rsidRDefault="000C40D7" w:rsidP="000C40D7">
      <w:pPr>
        <w:autoSpaceDE w:val="0"/>
        <w:autoSpaceDN w:val="0"/>
        <w:adjustRightInd w:val="0"/>
        <w:jc w:val="both"/>
        <w:outlineLvl w:val="0"/>
        <w:rPr>
          <w:rFonts w:eastAsiaTheme="minorHAnsi" w:cs="Arial"/>
        </w:rPr>
      </w:pPr>
      <w:r w:rsidRPr="000C40D7">
        <w:rPr>
          <w:rFonts w:eastAsiaTheme="minorHAnsi" w:cs="Arial"/>
        </w:rPr>
        <w:t>kevin.rames@rameslaw.com</w:t>
      </w:r>
    </w:p>
    <w:p w14:paraId="507E16F0" w14:textId="6F47C0A5" w:rsidR="00165F72" w:rsidRDefault="000C40D7" w:rsidP="000C40D7">
      <w:pPr>
        <w:jc w:val="both"/>
        <w:outlineLvl w:val="0"/>
        <w:rPr>
          <w:rFonts w:cs="Arial"/>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0C40D7">
        <w:rPr>
          <w:rFonts w:cs="Arial"/>
          <w:u w:val="single"/>
        </w:rPr>
        <w:t xml:space="preserve">/s/ </w:t>
      </w:r>
      <w:r w:rsidR="0004301D">
        <w:rPr>
          <w:rFonts w:cs="Arial"/>
          <w:u w:val="single"/>
        </w:rPr>
        <w:t>Carl J. Hartmann</w:t>
      </w:r>
      <w:r w:rsidRPr="000C40D7">
        <w:rPr>
          <w:rFonts w:cs="Arial"/>
          <w:u w:val="single"/>
        </w:rPr>
        <w:tab/>
      </w:r>
      <w:r w:rsidRPr="000C40D7">
        <w:rPr>
          <w:rFonts w:cs="Arial"/>
          <w:u w:val="single"/>
        </w:rPr>
        <w:tab/>
      </w:r>
    </w:p>
    <w:p w14:paraId="2EB65BCD" w14:textId="77777777" w:rsidR="007B04CA" w:rsidRDefault="007B04CA" w:rsidP="000C40D7">
      <w:pPr>
        <w:jc w:val="both"/>
        <w:outlineLvl w:val="0"/>
        <w:rPr>
          <w:rFonts w:cs="Arial"/>
          <w:u w:val="single"/>
        </w:rPr>
      </w:pPr>
    </w:p>
    <w:sectPr w:rsidR="007B04CA" w:rsidSect="002976F0">
      <w:headerReference w:type="default" r:id="rId8"/>
      <w:footerReference w:type="even" r:id="rId9"/>
      <w:headerReference w:type="first" r:id="rId10"/>
      <w:pgSz w:w="11900" w:h="16840"/>
      <w:pgMar w:top="1440"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5E21" w14:textId="77777777" w:rsidR="006B3599" w:rsidRDefault="006B3599" w:rsidP="00165F72">
      <w:r>
        <w:separator/>
      </w:r>
    </w:p>
  </w:endnote>
  <w:endnote w:type="continuationSeparator" w:id="0">
    <w:p w14:paraId="5E7B0497" w14:textId="77777777" w:rsidR="006B3599" w:rsidRDefault="006B3599" w:rsidP="0016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Hartmann">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7177419"/>
      <w:docPartObj>
        <w:docPartGallery w:val="Page Numbers (Bottom of Page)"/>
        <w:docPartUnique/>
      </w:docPartObj>
    </w:sdtPr>
    <w:sdtContent>
      <w:p w14:paraId="1EBF64C5" w14:textId="4F83BC29" w:rsidR="00165F72" w:rsidRDefault="00165F72" w:rsidP="003117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A3E93" w14:textId="77777777" w:rsidR="00165F72" w:rsidRDefault="0016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0769" w14:textId="77777777" w:rsidR="006B3599" w:rsidRDefault="006B3599" w:rsidP="00165F72">
      <w:r>
        <w:separator/>
      </w:r>
    </w:p>
  </w:footnote>
  <w:footnote w:type="continuationSeparator" w:id="0">
    <w:p w14:paraId="35BF9C14" w14:textId="77777777" w:rsidR="006B3599" w:rsidRDefault="006B3599" w:rsidP="00165F72">
      <w:r>
        <w:continuationSeparator/>
      </w:r>
    </w:p>
  </w:footnote>
  <w:footnote w:id="1">
    <w:p w14:paraId="2F4B1B58" w14:textId="4B4A5504" w:rsidR="00F00238" w:rsidRDefault="00F00238" w:rsidP="00F00238">
      <w:pPr>
        <w:pStyle w:val="FootnoteText"/>
        <w:jc w:val="both"/>
        <w:outlineLvl w:val="0"/>
        <w:rPr>
          <w:rFonts w:ascii="Arial" w:hAnsi="Arial" w:cs="Arial"/>
          <w:sz w:val="24"/>
        </w:rPr>
      </w:pPr>
      <w:r w:rsidRPr="00597A85">
        <w:rPr>
          <w:rStyle w:val="FootnoteReference"/>
          <w:rFonts w:ascii="Arial" w:hAnsi="Arial" w:cs="Arial"/>
          <w:sz w:val="24"/>
        </w:rPr>
        <w:footnoteRef/>
      </w:r>
      <w:r w:rsidRPr="00597A85">
        <w:rPr>
          <w:rFonts w:ascii="Arial" w:hAnsi="Arial" w:cs="Arial"/>
          <w:sz w:val="24"/>
        </w:rPr>
        <w:t xml:space="preserve"> As set forth below, </w:t>
      </w:r>
      <w:r w:rsidR="008D0218">
        <w:rPr>
          <w:rFonts w:ascii="Arial" w:hAnsi="Arial" w:cs="Arial"/>
          <w:sz w:val="24"/>
        </w:rPr>
        <w:t xml:space="preserve">(1) </w:t>
      </w:r>
      <w:r w:rsidR="00823F7E">
        <w:rPr>
          <w:rFonts w:ascii="Arial" w:hAnsi="Arial" w:cs="Arial"/>
          <w:sz w:val="24"/>
        </w:rPr>
        <w:t>Manal</w:t>
      </w:r>
      <w:r w:rsidRPr="00597A85">
        <w:rPr>
          <w:rFonts w:ascii="Arial" w:hAnsi="Arial" w:cs="Arial"/>
          <w:sz w:val="24"/>
        </w:rPr>
        <w:t xml:space="preserve"> is an active litigant in </w:t>
      </w:r>
      <w:r w:rsidR="008D0218">
        <w:rPr>
          <w:rFonts w:ascii="Arial" w:hAnsi="Arial" w:cs="Arial"/>
          <w:sz w:val="24"/>
        </w:rPr>
        <w:t xml:space="preserve">the </w:t>
      </w:r>
      <w:r w:rsidRPr="00597A85">
        <w:rPr>
          <w:rFonts w:ascii="Arial" w:hAnsi="Arial" w:cs="Arial"/>
          <w:sz w:val="24"/>
        </w:rPr>
        <w:t>two companion cases,</w:t>
      </w:r>
      <w:r w:rsidR="00823F7E">
        <w:rPr>
          <w:rFonts w:ascii="Arial" w:hAnsi="Arial" w:cs="Arial"/>
          <w:sz w:val="24"/>
        </w:rPr>
        <w:t xml:space="preserve"> one of which she brought,</w:t>
      </w:r>
      <w:r w:rsidRPr="00597A85">
        <w:rPr>
          <w:rFonts w:ascii="Arial" w:hAnsi="Arial" w:cs="Arial"/>
          <w:sz w:val="24"/>
        </w:rPr>
        <w:t xml:space="preserve"> </w:t>
      </w:r>
      <w:r>
        <w:rPr>
          <w:rFonts w:ascii="Arial" w:hAnsi="Arial" w:cs="Arial"/>
          <w:sz w:val="24"/>
        </w:rPr>
        <w:t xml:space="preserve">(2) </w:t>
      </w:r>
      <w:r w:rsidR="008D0218">
        <w:rPr>
          <w:rFonts w:ascii="Arial" w:hAnsi="Arial" w:cs="Arial"/>
          <w:sz w:val="24"/>
        </w:rPr>
        <w:t xml:space="preserve">she </w:t>
      </w:r>
      <w:r w:rsidRPr="00597A85">
        <w:rPr>
          <w:rFonts w:ascii="Arial" w:hAnsi="Arial" w:cs="Arial"/>
          <w:sz w:val="24"/>
        </w:rPr>
        <w:t xml:space="preserve">has </w:t>
      </w:r>
      <w:r w:rsidR="008D0218">
        <w:rPr>
          <w:rFonts w:ascii="Arial" w:hAnsi="Arial" w:cs="Arial"/>
          <w:sz w:val="24"/>
        </w:rPr>
        <w:t xml:space="preserve">USVI </w:t>
      </w:r>
      <w:r w:rsidRPr="00597A85">
        <w:rPr>
          <w:rFonts w:ascii="Arial" w:hAnsi="Arial" w:cs="Arial"/>
          <w:sz w:val="24"/>
        </w:rPr>
        <w:t>counsel</w:t>
      </w:r>
      <w:r>
        <w:rPr>
          <w:rFonts w:ascii="Arial" w:hAnsi="Arial" w:cs="Arial"/>
          <w:sz w:val="24"/>
        </w:rPr>
        <w:t xml:space="preserve"> who </w:t>
      </w:r>
      <w:r w:rsidR="008D0218">
        <w:rPr>
          <w:rFonts w:ascii="Arial" w:hAnsi="Arial" w:cs="Arial"/>
          <w:sz w:val="24"/>
        </w:rPr>
        <w:t xml:space="preserve">also </w:t>
      </w:r>
      <w:r>
        <w:rPr>
          <w:rFonts w:ascii="Arial" w:hAnsi="Arial" w:cs="Arial"/>
          <w:sz w:val="24"/>
        </w:rPr>
        <w:t xml:space="preserve">represents two of </w:t>
      </w:r>
      <w:r w:rsidR="00344E94">
        <w:rPr>
          <w:rFonts w:ascii="Arial" w:hAnsi="Arial" w:cs="Arial"/>
          <w:sz w:val="24"/>
        </w:rPr>
        <w:t xml:space="preserve">her family members who are </w:t>
      </w:r>
      <w:r>
        <w:rPr>
          <w:rFonts w:ascii="Arial" w:hAnsi="Arial" w:cs="Arial"/>
          <w:sz w:val="24"/>
        </w:rPr>
        <w:t xml:space="preserve">defendants here—and </w:t>
      </w:r>
      <w:r w:rsidR="008D0218">
        <w:rPr>
          <w:rFonts w:ascii="Arial" w:hAnsi="Arial" w:cs="Arial"/>
          <w:sz w:val="24"/>
        </w:rPr>
        <w:t>who, therefore</w:t>
      </w:r>
      <w:r w:rsidR="00823F7E">
        <w:rPr>
          <w:rFonts w:ascii="Arial" w:hAnsi="Arial" w:cs="Arial"/>
          <w:sz w:val="24"/>
        </w:rPr>
        <w:t>,</w:t>
      </w:r>
      <w:r>
        <w:rPr>
          <w:rFonts w:ascii="Arial" w:hAnsi="Arial" w:cs="Arial"/>
          <w:sz w:val="24"/>
        </w:rPr>
        <w:t xml:space="preserve"> has been copied on, and is fully informed as to these proceedings</w:t>
      </w:r>
      <w:r w:rsidRPr="00597A85">
        <w:rPr>
          <w:rFonts w:ascii="Arial" w:hAnsi="Arial" w:cs="Arial"/>
          <w:sz w:val="24"/>
        </w:rPr>
        <w:t xml:space="preserve">, </w:t>
      </w:r>
      <w:r>
        <w:rPr>
          <w:rFonts w:ascii="Arial" w:hAnsi="Arial" w:cs="Arial"/>
          <w:sz w:val="24"/>
        </w:rPr>
        <w:t xml:space="preserve">(3) </w:t>
      </w:r>
      <w:r w:rsidR="008D0218">
        <w:rPr>
          <w:rFonts w:ascii="Arial" w:hAnsi="Arial" w:cs="Arial"/>
          <w:sz w:val="24"/>
        </w:rPr>
        <w:t xml:space="preserve">she </w:t>
      </w:r>
      <w:r w:rsidRPr="00597A85">
        <w:rPr>
          <w:rFonts w:ascii="Arial" w:hAnsi="Arial" w:cs="Arial"/>
          <w:sz w:val="24"/>
        </w:rPr>
        <w:t xml:space="preserve">has not deposed witnesses </w:t>
      </w:r>
      <w:r>
        <w:rPr>
          <w:rFonts w:ascii="Arial" w:hAnsi="Arial" w:cs="Arial"/>
          <w:sz w:val="24"/>
        </w:rPr>
        <w:t xml:space="preserve">yet, (4) nor has she yet been </w:t>
      </w:r>
      <w:r w:rsidRPr="00597A85">
        <w:rPr>
          <w:rFonts w:ascii="Arial" w:hAnsi="Arial" w:cs="Arial"/>
          <w:sz w:val="24"/>
        </w:rPr>
        <w:t xml:space="preserve">deposed herself—and </w:t>
      </w:r>
      <w:r>
        <w:rPr>
          <w:rFonts w:ascii="Arial" w:hAnsi="Arial" w:cs="Arial"/>
          <w:sz w:val="24"/>
        </w:rPr>
        <w:t xml:space="preserve">(5) </w:t>
      </w:r>
      <w:r w:rsidR="008D0218">
        <w:rPr>
          <w:rFonts w:ascii="Arial" w:hAnsi="Arial" w:cs="Arial"/>
          <w:sz w:val="24"/>
        </w:rPr>
        <w:t xml:space="preserve">although not a U.S. citizen, she </w:t>
      </w:r>
      <w:r w:rsidRPr="00597A85">
        <w:rPr>
          <w:rFonts w:ascii="Arial" w:hAnsi="Arial" w:cs="Arial"/>
          <w:sz w:val="24"/>
        </w:rPr>
        <w:t>is fully subject to the jurisdiction of th</w:t>
      </w:r>
      <w:r w:rsidR="00C64461">
        <w:rPr>
          <w:rFonts w:ascii="Arial" w:hAnsi="Arial" w:cs="Arial"/>
          <w:sz w:val="24"/>
        </w:rPr>
        <w:t>is</w:t>
      </w:r>
      <w:r w:rsidRPr="00597A85">
        <w:rPr>
          <w:rFonts w:ascii="Arial" w:hAnsi="Arial" w:cs="Arial"/>
          <w:sz w:val="24"/>
        </w:rPr>
        <w:t xml:space="preserve"> Court</w:t>
      </w:r>
      <w:r>
        <w:rPr>
          <w:rFonts w:ascii="Arial" w:hAnsi="Arial" w:cs="Arial"/>
          <w:sz w:val="24"/>
        </w:rPr>
        <w:t>.</w:t>
      </w:r>
    </w:p>
    <w:p w14:paraId="6F64DCC7" w14:textId="77777777" w:rsidR="00F00238" w:rsidRPr="00597A85" w:rsidRDefault="00F00238" w:rsidP="00F00238">
      <w:pPr>
        <w:pStyle w:val="FootnoteText"/>
        <w:jc w:val="both"/>
        <w:outlineLvl w:val="0"/>
        <w:rPr>
          <w:rFonts w:ascii="Arial" w:hAnsi="Arial" w:cs="Arial"/>
          <w:sz w:val="24"/>
        </w:rPr>
      </w:pPr>
    </w:p>
  </w:footnote>
  <w:footnote w:id="2">
    <w:p w14:paraId="2FA2F147" w14:textId="0CF7E0FF" w:rsidR="00982060" w:rsidRDefault="00982060" w:rsidP="00982060">
      <w:pPr>
        <w:pStyle w:val="FootnoteText"/>
        <w:jc w:val="both"/>
        <w:outlineLvl w:val="0"/>
        <w:rPr>
          <w:rFonts w:ascii="Arial" w:hAnsi="Arial" w:cs="Arial"/>
          <w:sz w:val="24"/>
        </w:rPr>
      </w:pPr>
      <w:r w:rsidRPr="00982060">
        <w:rPr>
          <w:rStyle w:val="FootnoteReference"/>
          <w:rFonts w:ascii="Arial" w:hAnsi="Arial" w:cs="Arial"/>
          <w:sz w:val="24"/>
        </w:rPr>
        <w:footnoteRef/>
      </w:r>
      <w:r w:rsidRPr="00982060">
        <w:rPr>
          <w:rFonts w:ascii="Arial" w:hAnsi="Arial" w:cs="Arial"/>
          <w:sz w:val="24"/>
        </w:rPr>
        <w:t xml:space="preserve"> The additional cases are no</w:t>
      </w:r>
      <w:r w:rsidR="00823F7E">
        <w:rPr>
          <w:rFonts w:ascii="Arial" w:hAnsi="Arial" w:cs="Arial"/>
          <w:sz w:val="24"/>
        </w:rPr>
        <w:t xml:space="preserve"> longer</w:t>
      </w:r>
      <w:r w:rsidRPr="00982060">
        <w:rPr>
          <w:rFonts w:ascii="Arial" w:hAnsi="Arial" w:cs="Arial"/>
          <w:sz w:val="24"/>
        </w:rPr>
        <w:t xml:space="preserve"> relevant to the</w:t>
      </w:r>
      <w:r w:rsidR="00823F7E">
        <w:rPr>
          <w:rFonts w:ascii="Arial" w:hAnsi="Arial" w:cs="Arial"/>
          <w:sz w:val="24"/>
        </w:rPr>
        <w:t>se</w:t>
      </w:r>
      <w:r w:rsidRPr="00982060">
        <w:rPr>
          <w:rFonts w:ascii="Arial" w:hAnsi="Arial" w:cs="Arial"/>
          <w:sz w:val="24"/>
        </w:rPr>
        <w:t xml:space="preserve"> three remaining actions. For example, on July 27, 2015, Fathi Yusuf filed </w:t>
      </w:r>
      <w:r w:rsidR="00740241">
        <w:rPr>
          <w:rFonts w:ascii="Arial" w:hAnsi="Arial" w:cs="Arial"/>
          <w:sz w:val="24"/>
        </w:rPr>
        <w:t xml:space="preserve">ST-2015-CV-000344, </w:t>
      </w:r>
      <w:r w:rsidRPr="00982060">
        <w:rPr>
          <w:rFonts w:ascii="Arial" w:hAnsi="Arial" w:cs="Arial"/>
          <w:sz w:val="24"/>
        </w:rPr>
        <w:t>an action against</w:t>
      </w:r>
      <w:r w:rsidR="00740241" w:rsidRPr="00740241">
        <w:rPr>
          <w:rFonts w:ascii="Arial" w:hAnsi="Arial" w:cs="Arial"/>
          <w:sz w:val="24"/>
        </w:rPr>
        <w:t xml:space="preserve"> </w:t>
      </w:r>
      <w:r w:rsidR="00740241" w:rsidRPr="00982060">
        <w:rPr>
          <w:rFonts w:ascii="Arial" w:hAnsi="Arial" w:cs="Arial"/>
          <w:sz w:val="24"/>
        </w:rPr>
        <w:t>Sixteen Plus Corporation</w:t>
      </w:r>
      <w:r w:rsidR="00740241">
        <w:rPr>
          <w:rFonts w:ascii="Arial" w:hAnsi="Arial" w:cs="Arial"/>
          <w:sz w:val="24"/>
        </w:rPr>
        <w:t>….</w:t>
      </w:r>
      <w:r w:rsidRPr="00982060">
        <w:rPr>
          <w:rFonts w:ascii="Arial" w:hAnsi="Arial" w:cs="Arial"/>
          <w:sz w:val="24"/>
        </w:rPr>
        <w:t xml:space="preserve">Mohammad A. Hamed, Waleed M. Hamed, Waheed M. Hamed, Mufeed M. Hamed, </w:t>
      </w:r>
      <w:r w:rsidR="00740241">
        <w:rPr>
          <w:rFonts w:ascii="Arial" w:hAnsi="Arial" w:cs="Arial"/>
          <w:sz w:val="24"/>
        </w:rPr>
        <w:t>a</w:t>
      </w:r>
      <w:r w:rsidRPr="00982060">
        <w:rPr>
          <w:rFonts w:ascii="Arial" w:hAnsi="Arial" w:cs="Arial"/>
          <w:sz w:val="24"/>
        </w:rPr>
        <w:t>nd Hisham M. Hamed</w:t>
      </w:r>
      <w:r w:rsidR="00740241">
        <w:rPr>
          <w:rFonts w:ascii="Arial" w:hAnsi="Arial" w:cs="Arial"/>
          <w:sz w:val="24"/>
        </w:rPr>
        <w:t>. That action sought:</w:t>
      </w:r>
    </w:p>
    <w:p w14:paraId="21F4E967" w14:textId="4BAAD0BC" w:rsidR="00740241" w:rsidRPr="00606D06" w:rsidRDefault="00740241" w:rsidP="00740241">
      <w:pPr>
        <w:pStyle w:val="FootnoteText"/>
        <w:ind w:left="720" w:right="720"/>
        <w:jc w:val="both"/>
        <w:outlineLvl w:val="0"/>
        <w:rPr>
          <w:rFonts w:ascii="Arial" w:hAnsi="Arial" w:cs="Arial"/>
          <w:sz w:val="16"/>
          <w:szCs w:val="16"/>
        </w:rPr>
      </w:pPr>
    </w:p>
    <w:p w14:paraId="31A44CC8" w14:textId="154C2DA5" w:rsidR="00740241" w:rsidRPr="00C64461" w:rsidRDefault="00740241" w:rsidP="00740241">
      <w:pPr>
        <w:pStyle w:val="FootnoteText"/>
        <w:ind w:left="720" w:right="720"/>
        <w:jc w:val="both"/>
        <w:outlineLvl w:val="0"/>
        <w:rPr>
          <w:rFonts w:ascii="Arial" w:hAnsi="Arial" w:cs="Arial"/>
          <w:sz w:val="24"/>
          <w:szCs w:val="24"/>
        </w:rPr>
      </w:pPr>
      <w:r w:rsidRPr="00C64461">
        <w:rPr>
          <w:rFonts w:ascii="Arial" w:hAnsi="Arial" w:cs="Arial"/>
          <w:sz w:val="24"/>
          <w:szCs w:val="24"/>
        </w:rPr>
        <w:t>3. An order dissolving…Sixteen Plus and directing the windup of the corporation[]; [and]</w:t>
      </w:r>
    </w:p>
    <w:p w14:paraId="73169E9A" w14:textId="75BDC018" w:rsidR="00740241" w:rsidRPr="00C64461" w:rsidRDefault="00740241" w:rsidP="00740241">
      <w:pPr>
        <w:pStyle w:val="FootnoteText"/>
        <w:ind w:left="720" w:right="720"/>
        <w:jc w:val="both"/>
        <w:outlineLvl w:val="0"/>
        <w:rPr>
          <w:rFonts w:ascii="Arial" w:hAnsi="Arial" w:cs="Arial"/>
          <w:sz w:val="24"/>
          <w:szCs w:val="24"/>
        </w:rPr>
      </w:pPr>
      <w:r w:rsidRPr="00C64461">
        <w:rPr>
          <w:rFonts w:ascii="Arial" w:hAnsi="Arial" w:cs="Arial"/>
          <w:sz w:val="24"/>
          <w:szCs w:val="24"/>
        </w:rPr>
        <w:t>4. An order appointing a receiver for…Sixteen Plus to sell the real estate holdings of both corporations. . . .</w:t>
      </w:r>
    </w:p>
    <w:p w14:paraId="0B7F4119" w14:textId="2BF1109C" w:rsidR="00740241" w:rsidRPr="00606D06" w:rsidRDefault="00740241" w:rsidP="00740241">
      <w:pPr>
        <w:pStyle w:val="FootnoteText"/>
        <w:ind w:left="720" w:right="720"/>
        <w:jc w:val="both"/>
        <w:outlineLvl w:val="0"/>
        <w:rPr>
          <w:rFonts w:ascii="Arial" w:hAnsi="Arial" w:cs="Arial"/>
          <w:sz w:val="16"/>
          <w:szCs w:val="16"/>
        </w:rPr>
      </w:pPr>
    </w:p>
    <w:p w14:paraId="5A16F0CF" w14:textId="03A0A926" w:rsidR="00740241" w:rsidRDefault="009247F4" w:rsidP="00740241">
      <w:pPr>
        <w:pStyle w:val="FootnoteText"/>
        <w:jc w:val="both"/>
        <w:outlineLvl w:val="0"/>
        <w:rPr>
          <w:rFonts w:ascii="Arial" w:hAnsi="Arial" w:cs="Arial"/>
          <w:sz w:val="24"/>
        </w:rPr>
      </w:pPr>
      <w:r>
        <w:rPr>
          <w:rFonts w:ascii="Arial" w:hAnsi="Arial" w:cs="Arial"/>
          <w:sz w:val="24"/>
        </w:rPr>
        <w:t>Hamed believes t</w:t>
      </w:r>
      <w:r w:rsidR="00740241">
        <w:rPr>
          <w:rFonts w:ascii="Arial" w:hAnsi="Arial" w:cs="Arial"/>
          <w:sz w:val="24"/>
        </w:rPr>
        <w:t xml:space="preserve">hat </w:t>
      </w:r>
      <w:r>
        <w:rPr>
          <w:rFonts w:ascii="Arial" w:hAnsi="Arial" w:cs="Arial"/>
          <w:sz w:val="24"/>
        </w:rPr>
        <w:t xml:space="preserve">2015 </w:t>
      </w:r>
      <w:r w:rsidR="00740241">
        <w:rPr>
          <w:rFonts w:ascii="Arial" w:hAnsi="Arial" w:cs="Arial"/>
          <w:sz w:val="24"/>
        </w:rPr>
        <w:t xml:space="preserve">action was intended to force the issue of the note and </w:t>
      </w:r>
      <w:r w:rsidR="008B4A17">
        <w:rPr>
          <w:rFonts w:ascii="Arial" w:hAnsi="Arial" w:cs="Arial"/>
          <w:sz w:val="24"/>
        </w:rPr>
        <w:t>mortgage and</w:t>
      </w:r>
      <w:r w:rsidR="00740241">
        <w:rPr>
          <w:rFonts w:ascii="Arial" w:hAnsi="Arial" w:cs="Arial"/>
          <w:sz w:val="24"/>
        </w:rPr>
        <w:t xml:space="preserve"> led to the remaining cases—but was dismissed without prejudice on the joint motion of the parties on November 15, 2016.</w:t>
      </w:r>
    </w:p>
    <w:p w14:paraId="0F8EE488" w14:textId="77777777" w:rsidR="00740241" w:rsidRPr="00982060" w:rsidRDefault="00740241" w:rsidP="00740241">
      <w:pPr>
        <w:pStyle w:val="FootnoteText"/>
        <w:ind w:left="720" w:right="720"/>
        <w:jc w:val="both"/>
        <w:outlineLvl w:val="0"/>
        <w:rPr>
          <w:rFonts w:ascii="Arial" w:hAnsi="Arial" w:cs="Arial"/>
          <w:sz w:val="24"/>
        </w:rPr>
      </w:pPr>
    </w:p>
  </w:footnote>
  <w:footnote w:id="3">
    <w:p w14:paraId="4B7E6BA4" w14:textId="54D6790F" w:rsidR="00F005BB" w:rsidRDefault="00F005BB" w:rsidP="00F005BB">
      <w:pPr>
        <w:pStyle w:val="FootnoteText"/>
        <w:jc w:val="both"/>
        <w:outlineLvl w:val="0"/>
      </w:pPr>
      <w:r>
        <w:rPr>
          <w:rStyle w:val="FootnoteReference"/>
        </w:rPr>
        <w:footnoteRef/>
      </w:r>
      <w:r>
        <w:t xml:space="preserve"> </w:t>
      </w:r>
      <w:r w:rsidRPr="00F005BB">
        <w:rPr>
          <w:rFonts w:ascii="Arial" w:hAnsi="Arial" w:cs="Arial"/>
          <w:sz w:val="24"/>
        </w:rPr>
        <w:t xml:space="preserve">Hamed uses the term “primary defendants” to mean Fathi, Isam and Jamil—as Sixteen Plus is a nominal defendant in the derivative action. Moreover, </w:t>
      </w:r>
      <w:r w:rsidR="004B3ACD">
        <w:rPr>
          <w:rFonts w:ascii="Arial" w:hAnsi="Arial" w:cs="Arial"/>
          <w:sz w:val="24"/>
        </w:rPr>
        <w:t xml:space="preserve">to avoid confusion, </w:t>
      </w:r>
      <w:r w:rsidRPr="00F005BB">
        <w:rPr>
          <w:rFonts w:ascii="Arial" w:hAnsi="Arial" w:cs="Arial"/>
          <w:sz w:val="24"/>
        </w:rPr>
        <w:t xml:space="preserve">Hamed uses the first names for those </w:t>
      </w:r>
      <w:r w:rsidR="004B3ACD">
        <w:rPr>
          <w:rFonts w:ascii="Arial" w:hAnsi="Arial" w:cs="Arial"/>
          <w:sz w:val="24"/>
        </w:rPr>
        <w:t xml:space="preserve">three related </w:t>
      </w:r>
      <w:r w:rsidRPr="00F005BB">
        <w:rPr>
          <w:rFonts w:ascii="Arial" w:hAnsi="Arial" w:cs="Arial"/>
          <w:sz w:val="24"/>
        </w:rPr>
        <w:t>defendants rather than their last names because, although they are al</w:t>
      </w:r>
      <w:r w:rsidR="00171EF8">
        <w:rPr>
          <w:rFonts w:ascii="Arial" w:hAnsi="Arial" w:cs="Arial"/>
          <w:sz w:val="24"/>
        </w:rPr>
        <w:t>l</w:t>
      </w:r>
      <w:r w:rsidRPr="00F005BB">
        <w:rPr>
          <w:rFonts w:ascii="Arial" w:hAnsi="Arial" w:cs="Arial"/>
          <w:sz w:val="24"/>
        </w:rPr>
        <w:t xml:space="preserve"> </w:t>
      </w:r>
      <w:r w:rsidR="004B3ACD">
        <w:rPr>
          <w:rFonts w:ascii="Arial" w:hAnsi="Arial" w:cs="Arial"/>
          <w:sz w:val="24"/>
        </w:rPr>
        <w:t>family</w:t>
      </w:r>
      <w:r w:rsidRPr="00F005BB">
        <w:rPr>
          <w:rFonts w:ascii="Arial" w:hAnsi="Arial" w:cs="Arial"/>
          <w:sz w:val="24"/>
        </w:rPr>
        <w:t>, they use different spellings of the last name: Fathi YUSUF, Manal YOUSEF and Isam/Jamil YOUSUF.</w:t>
      </w:r>
    </w:p>
  </w:footnote>
  <w:footnote w:id="4">
    <w:p w14:paraId="05FC8273" w14:textId="1B1280E2" w:rsidR="002F2380" w:rsidRDefault="002F2380" w:rsidP="002F2380">
      <w:pPr>
        <w:pStyle w:val="FootnoteText"/>
        <w:jc w:val="both"/>
        <w:outlineLvl w:val="0"/>
        <w:rPr>
          <w:rFonts w:ascii="Arial" w:hAnsi="Arial" w:cs="Arial"/>
          <w:sz w:val="24"/>
        </w:rPr>
      </w:pPr>
      <w:r>
        <w:rPr>
          <w:rStyle w:val="FootnoteReference"/>
        </w:rPr>
        <w:footnoteRef/>
      </w:r>
      <w:r>
        <w:t xml:space="preserve"> </w:t>
      </w:r>
      <w:r w:rsidRPr="002F2380">
        <w:rPr>
          <w:rFonts w:ascii="Arial" w:hAnsi="Arial" w:cs="Arial"/>
          <w:sz w:val="24"/>
        </w:rPr>
        <w:t>Filed November 23, 2022.</w:t>
      </w:r>
    </w:p>
    <w:p w14:paraId="2FE71AA5" w14:textId="77777777" w:rsidR="002F2380" w:rsidRPr="002F2380" w:rsidRDefault="002F2380" w:rsidP="002F2380">
      <w:pPr>
        <w:pStyle w:val="FootnoteText"/>
        <w:jc w:val="both"/>
        <w:outlineLvl w:val="0"/>
        <w:rPr>
          <w:rFonts w:ascii="Arial" w:hAnsi="Arial" w:cs="Arial"/>
          <w:sz w:val="16"/>
          <w:szCs w:val="16"/>
        </w:rPr>
      </w:pPr>
    </w:p>
  </w:footnote>
  <w:footnote w:id="5">
    <w:p w14:paraId="31486BA7" w14:textId="4FF5FCCA" w:rsidR="00122373" w:rsidRDefault="00122373" w:rsidP="00122373">
      <w:pPr>
        <w:pStyle w:val="FootnoteText"/>
        <w:jc w:val="both"/>
        <w:outlineLvl w:val="0"/>
      </w:pPr>
      <w:r>
        <w:rPr>
          <w:rStyle w:val="FootnoteReference"/>
        </w:rPr>
        <w:footnoteRef/>
      </w:r>
      <w:r w:rsidRPr="003A725A">
        <w:rPr>
          <w:rFonts w:ascii="Arial" w:hAnsi="Arial" w:cs="Arial"/>
          <w:sz w:val="24"/>
        </w:rPr>
        <w:t>[Footnote</w:t>
      </w:r>
      <w:r>
        <w:rPr>
          <w:rFonts w:ascii="Arial" w:hAnsi="Arial" w:cs="Arial"/>
          <w:sz w:val="24"/>
        </w:rPr>
        <w:t xml:space="preserve"> </w:t>
      </w:r>
      <w:r w:rsidRPr="00122373">
        <w:rPr>
          <w:rFonts w:ascii="Arial" w:hAnsi="Arial" w:cs="Arial"/>
          <w:sz w:val="24"/>
        </w:rPr>
        <w:t>in the original.] 7. Hamed contends in this action that Fathi’s family members, including his niece, Manal Yousef, planned these documents to eventually take the Hamed half</w:t>
      </w:r>
      <w:r w:rsidR="003A725A">
        <w:rPr>
          <w:rFonts w:ascii="Arial" w:hAnsi="Arial" w:cs="Arial"/>
          <w:sz w:val="24"/>
        </w:rPr>
        <w:t>. . . .</w:t>
      </w:r>
      <w:r w:rsidRPr="00122373">
        <w:rPr>
          <w:rFonts w:ascii="Arial" w:hAnsi="Arial" w:cs="Arial"/>
          <w:sz w:val="24"/>
        </w:rPr>
        <w:t>Despite the various spellings, Mohammad Yusuf, who also goes by the last name Hamdan, is Fathi Yusuf’s brother. Isam Yousuf and Manal Yousef are Mohammad’s children. Thus, Fathi is their uncle. Defendant Jamil Yousuf is the brother of Manal, the son of Mohammad and the nephew of Fathi.</w:t>
      </w:r>
    </w:p>
  </w:footnote>
  <w:footnote w:id="6">
    <w:p w14:paraId="12F1CEB4" w14:textId="5B3A9847" w:rsidR="00035F18" w:rsidRPr="00D57B45" w:rsidRDefault="00035F18" w:rsidP="00D57B45">
      <w:pPr>
        <w:pStyle w:val="FootnoteText"/>
        <w:jc w:val="both"/>
        <w:outlineLvl w:val="0"/>
        <w:rPr>
          <w:rFonts w:ascii="Arial" w:hAnsi="Arial" w:cs="Arial"/>
          <w:sz w:val="24"/>
        </w:rPr>
      </w:pPr>
      <w:r>
        <w:rPr>
          <w:rStyle w:val="FootnoteReference"/>
        </w:rPr>
        <w:footnoteRef/>
      </w:r>
      <w:r>
        <w:t xml:space="preserve"> </w:t>
      </w:r>
      <w:r w:rsidRPr="00D57B45">
        <w:rPr>
          <w:rFonts w:ascii="Arial" w:hAnsi="Arial" w:cs="Arial"/>
          <w:sz w:val="24"/>
        </w:rPr>
        <w:t xml:space="preserve">Hamed has simultaneously sought consent from the other </w:t>
      </w:r>
      <w:r w:rsidR="008B4A17" w:rsidRPr="00D57B45">
        <w:rPr>
          <w:rFonts w:ascii="Arial" w:hAnsi="Arial" w:cs="Arial"/>
          <w:sz w:val="24"/>
        </w:rPr>
        <w:t>parties and</w:t>
      </w:r>
      <w:r w:rsidRPr="00D57B45">
        <w:rPr>
          <w:rFonts w:ascii="Arial" w:hAnsi="Arial" w:cs="Arial"/>
          <w:sz w:val="24"/>
        </w:rPr>
        <w:t xml:space="preserve"> will withdraw this motion if it is granted.</w:t>
      </w:r>
    </w:p>
    <w:p w14:paraId="4FDAB644" w14:textId="77777777" w:rsidR="00035F18" w:rsidRDefault="00035F18">
      <w:pPr>
        <w:pStyle w:val="FootnoteText"/>
      </w:pPr>
    </w:p>
  </w:footnote>
  <w:footnote w:id="7">
    <w:p w14:paraId="43F0D55F" w14:textId="14FD6951" w:rsidR="002E058D" w:rsidRDefault="002E058D" w:rsidP="00DC26A2">
      <w:pPr>
        <w:pStyle w:val="FootnoteText"/>
        <w:jc w:val="both"/>
        <w:outlineLvl w:val="0"/>
      </w:pPr>
      <w:r>
        <w:rPr>
          <w:rStyle w:val="FootnoteReference"/>
        </w:rPr>
        <w:footnoteRef/>
      </w:r>
      <w:r>
        <w:t xml:space="preserve"> </w:t>
      </w:r>
      <w:r w:rsidRPr="00DC26A2">
        <w:rPr>
          <w:rFonts w:ascii="Arial" w:hAnsi="Arial" w:cs="Arial"/>
          <w:sz w:val="24"/>
        </w:rPr>
        <w:t>The V.I. Supreme Court has observed that i</w:t>
      </w:r>
      <w:r w:rsidR="00DC26A2" w:rsidRPr="00DC26A2">
        <w:rPr>
          <w:rFonts w:ascii="Arial" w:hAnsi="Arial" w:cs="Arial"/>
          <w:sz w:val="24"/>
        </w:rPr>
        <w:t>t</w:t>
      </w:r>
      <w:r w:rsidRPr="00DC26A2">
        <w:rPr>
          <w:rFonts w:ascii="Arial" w:hAnsi="Arial" w:cs="Arial"/>
          <w:sz w:val="24"/>
        </w:rPr>
        <w:t xml:space="preserve"> “</w:t>
      </w:r>
      <w:r w:rsidRPr="00DC26A2">
        <w:rPr>
          <w:rStyle w:val="ssrfcpassagedeactivated"/>
          <w:rFonts w:ascii="Arial" w:hAnsi="Arial" w:cs="Arial"/>
          <w:color w:val="000000"/>
          <w:sz w:val="24"/>
          <w:bdr w:val="none" w:sz="0" w:space="0" w:color="auto" w:frame="1"/>
        </w:rPr>
        <w:t>ordinarily reviews the denial of a </w:t>
      </w:r>
      <w:r w:rsidRPr="00DC26A2">
        <w:rPr>
          <w:rStyle w:val="sh1335978773"/>
          <w:rFonts w:ascii="Arial" w:hAnsi="Arial" w:cs="Arial"/>
          <w:color w:val="000000"/>
          <w:sz w:val="24"/>
          <w:bdr w:val="none" w:sz="0" w:space="0" w:color="auto" w:frame="1"/>
        </w:rPr>
        <w:t>motion to amend</w:t>
      </w:r>
      <w:r w:rsidRPr="00DC26A2">
        <w:rPr>
          <w:rStyle w:val="ssrfcpassagedeactivated"/>
          <w:rFonts w:ascii="Arial" w:hAnsi="Arial" w:cs="Arial"/>
          <w:color w:val="000000"/>
          <w:sz w:val="24"/>
          <w:bdr w:val="none" w:sz="0" w:space="0" w:color="auto" w:frame="1"/>
        </w:rPr>
        <w:t> an answer or other pleading only for abuse of discretion. </w:t>
      </w:r>
      <w:r w:rsidRPr="00DC26A2">
        <w:rPr>
          <w:rStyle w:val="ssit"/>
          <w:rFonts w:ascii="Arial" w:hAnsi="Arial" w:cs="Arial"/>
          <w:i/>
          <w:iCs/>
          <w:color w:val="000000"/>
          <w:sz w:val="24"/>
          <w:bdr w:val="none" w:sz="0" w:space="0" w:color="auto" w:frame="1"/>
        </w:rPr>
        <w:t>Harvey v. Christopher</w:t>
      </w:r>
      <w:r w:rsidRPr="00DC26A2">
        <w:rPr>
          <w:rStyle w:val="ssrfcsection"/>
          <w:rFonts w:ascii="Arial" w:hAnsi="Arial" w:cs="Arial"/>
          <w:color w:val="000000"/>
          <w:sz w:val="24"/>
          <w:bdr w:val="none" w:sz="0" w:space="0" w:color="auto" w:frame="1"/>
        </w:rPr>
        <w:t>, 55 V.I. 565, 577 (V.I. 2011). However, review is plenary when the Superior Court exercises its discretion based on the interpretation of application of a legal precept. </w:t>
      </w:r>
      <w:r w:rsidRPr="00DC26A2">
        <w:rPr>
          <w:rStyle w:val="ssit"/>
          <w:rFonts w:ascii="Arial" w:hAnsi="Arial" w:cs="Arial"/>
          <w:i/>
          <w:iCs/>
          <w:color w:val="000000"/>
          <w:sz w:val="24"/>
          <w:bdr w:val="none" w:sz="0" w:space="0" w:color="auto" w:frame="1"/>
        </w:rPr>
        <w:t>Corriette v. Morales</w:t>
      </w:r>
      <w:r w:rsidRPr="00DC26A2">
        <w:rPr>
          <w:rStyle w:val="ssrfcpassagedeactivated"/>
          <w:rFonts w:ascii="Arial" w:hAnsi="Arial" w:cs="Arial"/>
          <w:color w:val="000000"/>
          <w:sz w:val="24"/>
          <w:bdr w:val="none" w:sz="0" w:space="0" w:color="auto" w:frame="1"/>
        </w:rPr>
        <w:t>, 50 V.I. 202, 205 (V.I. 2008).</w:t>
      </w:r>
      <w:r w:rsidR="00DC26A2">
        <w:rPr>
          <w:rStyle w:val="ssrfcpassagedeactivated"/>
          <w:rFonts w:ascii="Arial" w:hAnsi="Arial" w:cs="Arial"/>
          <w:color w:val="000000"/>
          <w:sz w:val="24"/>
          <w:bdr w:val="none" w:sz="0" w:space="0" w:color="auto" w:frame="1"/>
        </w:rPr>
        <w:t>”</w:t>
      </w:r>
      <w:r w:rsidR="00DC26A2" w:rsidRPr="00DC26A2">
        <w:rPr>
          <w:rStyle w:val="ssrfcpassagedeactivated"/>
          <w:rFonts w:ascii="Arial" w:hAnsi="Arial" w:cs="Arial"/>
          <w:color w:val="000000"/>
          <w:sz w:val="24"/>
          <w:bdr w:val="none" w:sz="0" w:space="0" w:color="auto" w:frame="1"/>
        </w:rPr>
        <w:t xml:space="preserve"> </w:t>
      </w:r>
      <w:r w:rsidRPr="00DC26A2">
        <w:rPr>
          <w:rFonts w:ascii="Arial" w:hAnsi="Arial" w:cs="Arial"/>
          <w:i/>
          <w:iCs/>
          <w:sz w:val="24"/>
          <w:bdr w:val="none" w:sz="0" w:space="0" w:color="auto" w:frame="1"/>
        </w:rPr>
        <w:t>Stiles v. Yob</w:t>
      </w:r>
      <w:r w:rsidRPr="00DC26A2">
        <w:rPr>
          <w:rFonts w:ascii="Arial" w:hAnsi="Arial" w:cs="Arial"/>
          <w:sz w:val="24"/>
          <w:bdr w:val="none" w:sz="0" w:space="0" w:color="auto" w:frame="1"/>
        </w:rPr>
        <w:t>, 65 V.I. 234, 239 (2016)</w:t>
      </w:r>
      <w:r w:rsidR="00DC26A2">
        <w:rPr>
          <w:rFonts w:ascii="Arial" w:hAnsi="Arial" w:cs="Arial"/>
          <w:sz w:val="24"/>
          <w:bdr w:val="none" w:sz="0" w:space="0" w:color="auto" w:frame="1"/>
        </w:rPr>
        <w:t>.</w:t>
      </w:r>
    </w:p>
  </w:footnote>
  <w:footnote w:id="8">
    <w:p w14:paraId="19507729" w14:textId="09A81F82" w:rsidR="001714E4" w:rsidRDefault="001714E4" w:rsidP="001714E4">
      <w:pPr>
        <w:pStyle w:val="FootnoteText"/>
        <w:jc w:val="both"/>
        <w:outlineLvl w:val="0"/>
      </w:pPr>
      <w:r>
        <w:rPr>
          <w:rStyle w:val="FootnoteReference"/>
        </w:rPr>
        <w:footnoteRef/>
      </w:r>
      <w:r w:rsidRPr="001714E4">
        <w:rPr>
          <w:rFonts w:ascii="Arial" w:hAnsi="Arial" w:cs="Arial"/>
          <w:sz w:val="24"/>
        </w:rPr>
        <w:t xml:space="preserve"> In </w:t>
      </w:r>
      <w:r w:rsidRPr="001714E4">
        <w:rPr>
          <w:rFonts w:ascii="Arial" w:hAnsi="Arial" w:cs="Arial"/>
          <w:i/>
          <w:iCs/>
          <w:sz w:val="24"/>
          <w:bdr w:val="none" w:sz="0" w:space="0" w:color="auto" w:frame="1"/>
        </w:rPr>
        <w:t>Toussaint v. Stewart</w:t>
      </w:r>
      <w:r w:rsidRPr="001714E4">
        <w:rPr>
          <w:rFonts w:ascii="Arial" w:hAnsi="Arial" w:cs="Arial"/>
          <w:sz w:val="24"/>
          <w:bdr w:val="none" w:sz="0" w:space="0" w:color="auto" w:frame="1"/>
        </w:rPr>
        <w:t xml:space="preserve">, 67 V.I. 931, 947 (2017), the Court </w:t>
      </w:r>
      <w:r>
        <w:rPr>
          <w:rFonts w:ascii="Arial" w:hAnsi="Arial" w:cs="Arial"/>
          <w:sz w:val="24"/>
          <w:bdr w:val="none" w:sz="0" w:space="0" w:color="auto" w:frame="1"/>
        </w:rPr>
        <w:t>quotes the U.S. Supreme Court for the further proposition that</w:t>
      </w:r>
      <w:r w:rsidRPr="001714E4">
        <w:rPr>
          <w:rFonts w:ascii="Arial" w:hAnsi="Arial" w:cs="Arial"/>
          <w:sz w:val="24"/>
          <w:bdr w:val="none" w:sz="0" w:space="0" w:color="auto" w:frame="1"/>
        </w:rPr>
        <w:t>: “</w:t>
      </w:r>
      <w:r w:rsidRPr="001714E4">
        <w:rPr>
          <w:rFonts w:ascii="Arial" w:hAnsi="Arial" w:cs="Arial"/>
          <w:color w:val="000000"/>
          <w:sz w:val="24"/>
        </w:rPr>
        <w:t>In keeping with the intent and spirit of the rules of the Superior Court governing pleadings and amendments, decisions on the merits are favored, and dismissal of claims “on the basis of such mere technicalities” are to be avoided. </w:t>
      </w:r>
      <w:r w:rsidRPr="001714E4">
        <w:rPr>
          <w:rStyle w:val="ssit"/>
          <w:rFonts w:ascii="Arial" w:hAnsi="Arial" w:cs="Arial"/>
          <w:i/>
          <w:iCs/>
          <w:color w:val="000000"/>
          <w:sz w:val="24"/>
          <w:bdr w:val="none" w:sz="0" w:space="0" w:color="auto" w:frame="1"/>
        </w:rPr>
        <w:t>Foman</w:t>
      </w:r>
      <w:r w:rsidRPr="001714E4">
        <w:rPr>
          <w:rFonts w:ascii="Arial" w:hAnsi="Arial" w:cs="Arial"/>
          <w:color w:val="000000"/>
          <w:sz w:val="24"/>
        </w:rPr>
        <w:t>, 371 U.S. at 181.”</w:t>
      </w:r>
    </w:p>
  </w:footnote>
  <w:footnote w:id="9">
    <w:p w14:paraId="70590A34" w14:textId="10F4FDE4" w:rsidR="004C28BD" w:rsidRDefault="004C28BD" w:rsidP="00ED6437">
      <w:pPr>
        <w:pStyle w:val="FootnoteText"/>
        <w:jc w:val="both"/>
        <w:outlineLvl w:val="0"/>
        <w:rPr>
          <w:rFonts w:ascii="Arial" w:hAnsi="Arial" w:cs="Arial"/>
          <w:sz w:val="24"/>
          <w:bdr w:val="none" w:sz="0" w:space="0" w:color="auto" w:frame="1"/>
        </w:rPr>
      </w:pPr>
      <w:r>
        <w:rPr>
          <w:rStyle w:val="FootnoteReference"/>
        </w:rPr>
        <w:footnoteRef/>
      </w:r>
      <w:r>
        <w:t xml:space="preserve"> </w:t>
      </w:r>
      <w:r w:rsidRPr="00ED6437">
        <w:rPr>
          <w:rFonts w:ascii="Arial" w:hAnsi="Arial" w:cs="Arial"/>
          <w:sz w:val="24"/>
        </w:rPr>
        <w:t>The Court state</w:t>
      </w:r>
      <w:r w:rsidR="00ED6437">
        <w:rPr>
          <w:rFonts w:ascii="Arial" w:hAnsi="Arial" w:cs="Arial"/>
          <w:sz w:val="24"/>
        </w:rPr>
        <w:t>d</w:t>
      </w:r>
      <w:r w:rsidRPr="00ED6437">
        <w:rPr>
          <w:rFonts w:ascii="Arial" w:hAnsi="Arial" w:cs="Arial"/>
          <w:sz w:val="24"/>
        </w:rPr>
        <w:t xml:space="preserve"> </w:t>
      </w:r>
      <w:r w:rsidRPr="00ED6437">
        <w:rPr>
          <w:rStyle w:val="ssrfcpassagedeactivated"/>
          <w:rFonts w:ascii="Arial" w:hAnsi="Arial" w:cs="Arial"/>
          <w:color w:val="000000"/>
          <w:sz w:val="24"/>
          <w:bdr w:val="none" w:sz="0" w:space="0" w:color="auto" w:frame="1"/>
        </w:rPr>
        <w:t>“[b]ecause unjust enrichment [</w:t>
      </w:r>
      <w:r w:rsidRPr="00ED6437">
        <w:rPr>
          <w:rStyle w:val="ssit"/>
          <w:rFonts w:ascii="Arial" w:hAnsi="Arial" w:cs="Arial"/>
          <w:i/>
          <w:iCs/>
          <w:color w:val="000000"/>
          <w:sz w:val="24"/>
          <w:bdr w:val="none" w:sz="0" w:space="0" w:color="auto" w:frame="1"/>
        </w:rPr>
        <w:t>i.e</w:t>
      </w:r>
      <w:r w:rsidRPr="00ED6437">
        <w:rPr>
          <w:rStyle w:val="ssrfcpassagedeactivated"/>
          <w:rFonts w:ascii="Arial" w:hAnsi="Arial" w:cs="Arial"/>
          <w:color w:val="000000"/>
          <w:sz w:val="24"/>
          <w:bdr w:val="none" w:sz="0" w:space="0" w:color="auto" w:frame="1"/>
        </w:rPr>
        <w:t>. </w:t>
      </w:r>
      <w:r w:rsidRPr="00ED6437">
        <w:rPr>
          <w:rStyle w:val="ssit"/>
          <w:rFonts w:ascii="Arial" w:hAnsi="Arial" w:cs="Arial"/>
          <w:i/>
          <w:iCs/>
          <w:color w:val="000000"/>
          <w:sz w:val="24"/>
          <w:bdr w:val="none" w:sz="0" w:space="0" w:color="auto" w:frame="1"/>
        </w:rPr>
        <w:t>quantum meruit</w:t>
      </w:r>
      <w:r w:rsidRPr="00ED6437">
        <w:rPr>
          <w:rStyle w:val="ssrfcpassagedeactivated"/>
          <w:rFonts w:ascii="Arial" w:hAnsi="Arial" w:cs="Arial"/>
          <w:color w:val="000000"/>
          <w:sz w:val="24"/>
          <w:bdr w:val="none" w:sz="0" w:space="0" w:color="auto" w:frame="1"/>
        </w:rPr>
        <w:t>] is an equitable remedy, it — like all equitable remedies — is inappropriate where a legal remedy is available.”). </w:t>
      </w:r>
      <w:r w:rsidRPr="00ED6437">
        <w:rPr>
          <w:rFonts w:ascii="Arial" w:hAnsi="Arial" w:cs="Arial"/>
          <w:color w:val="000000"/>
          <w:sz w:val="24"/>
        </w:rPr>
        <w:t>Thus, the Superior Court's futility justification was sound.</w:t>
      </w:r>
      <w:r w:rsidR="00ED6437" w:rsidRPr="00ED6437">
        <w:rPr>
          <w:rFonts w:ascii="Arial" w:hAnsi="Arial" w:cs="Arial"/>
          <w:color w:val="000000"/>
          <w:sz w:val="24"/>
        </w:rPr>
        <w:t xml:space="preserve"> </w:t>
      </w:r>
      <w:r w:rsidR="00ED6437" w:rsidRPr="00ED6437">
        <w:rPr>
          <w:rFonts w:ascii="Arial" w:hAnsi="Arial" w:cs="Arial"/>
          <w:i/>
          <w:iCs/>
          <w:color w:val="000000"/>
          <w:sz w:val="24"/>
        </w:rPr>
        <w:t>Id</w:t>
      </w:r>
      <w:r w:rsidR="00ED6437" w:rsidRPr="00ED6437">
        <w:rPr>
          <w:rFonts w:ascii="Arial" w:hAnsi="Arial" w:cs="Arial"/>
          <w:color w:val="000000"/>
          <w:sz w:val="24"/>
        </w:rPr>
        <w:t xml:space="preserve">. at </w:t>
      </w:r>
      <w:r w:rsidRPr="00ED6437">
        <w:rPr>
          <w:rFonts w:ascii="Arial" w:hAnsi="Arial" w:cs="Arial"/>
          <w:sz w:val="24"/>
          <w:bdr w:val="none" w:sz="0" w:space="0" w:color="auto" w:frame="1"/>
        </w:rPr>
        <w:t>71 V.I. 652, 667 (2019)</w:t>
      </w:r>
      <w:r w:rsidR="00767136">
        <w:rPr>
          <w:rFonts w:ascii="Arial" w:hAnsi="Arial" w:cs="Arial"/>
          <w:sz w:val="24"/>
          <w:bdr w:val="none" w:sz="0" w:space="0" w:color="auto" w:frame="1"/>
        </w:rPr>
        <w:t>.</w:t>
      </w:r>
    </w:p>
    <w:p w14:paraId="21BCCB94" w14:textId="77777777" w:rsidR="00767136" w:rsidRDefault="00767136" w:rsidP="00ED6437">
      <w:pPr>
        <w:pStyle w:val="FootnoteText"/>
        <w:jc w:val="both"/>
        <w:outlineLvl w:val="0"/>
      </w:pPr>
    </w:p>
  </w:footnote>
  <w:footnote w:id="10">
    <w:p w14:paraId="3E5ED9EC" w14:textId="5C435455" w:rsidR="00767136" w:rsidRDefault="00767136" w:rsidP="00767136">
      <w:pPr>
        <w:pStyle w:val="FootnoteText"/>
        <w:jc w:val="both"/>
        <w:outlineLvl w:val="0"/>
      </w:pPr>
      <w:r>
        <w:rPr>
          <w:rStyle w:val="FootnoteReference"/>
        </w:rPr>
        <w:footnoteRef/>
      </w:r>
      <w:r>
        <w:t xml:space="preserve"> </w:t>
      </w:r>
      <w:r w:rsidRPr="00767136">
        <w:rPr>
          <w:rFonts w:ascii="Arial" w:hAnsi="Arial" w:cs="Arial"/>
          <w:sz w:val="24"/>
        </w:rPr>
        <w:t>Letter designations are used for exhibits here to differentiate them from exhibits to the FAC.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805D" w14:textId="62D18FE9" w:rsidR="002976F0" w:rsidRPr="002976F0" w:rsidRDefault="002976F0">
    <w:pPr>
      <w:pStyle w:val="Header"/>
      <w:rPr>
        <w:sz w:val="20"/>
        <w:szCs w:val="20"/>
      </w:rPr>
    </w:pPr>
    <w:r w:rsidRPr="002976F0">
      <w:rPr>
        <w:sz w:val="20"/>
        <w:szCs w:val="20"/>
      </w:rPr>
      <w:t xml:space="preserve">Hamed’s </w:t>
    </w:r>
    <w:r w:rsidR="00982060">
      <w:rPr>
        <w:sz w:val="20"/>
        <w:szCs w:val="20"/>
      </w:rPr>
      <w:t>Motion to Amend</w:t>
    </w:r>
    <w:r w:rsidR="002E058D">
      <w:rPr>
        <w:sz w:val="20"/>
        <w:szCs w:val="20"/>
      </w:rPr>
      <w:t xml:space="preserve"> to Add Manal Yousef</w:t>
    </w:r>
  </w:p>
  <w:p w14:paraId="4F294BED" w14:textId="0A6C656F" w:rsidR="002976F0" w:rsidRDefault="002976F0">
    <w:pPr>
      <w:pStyle w:val="Header"/>
      <w:rPr>
        <w:noProof/>
      </w:rPr>
    </w:pPr>
    <w:r w:rsidRPr="002976F0">
      <w:rPr>
        <w:sz w:val="20"/>
        <w:szCs w:val="20"/>
      </w:rPr>
      <w:t xml:space="preserve">Page </w:t>
    </w:r>
    <w:r w:rsidRPr="002976F0">
      <w:rPr>
        <w:sz w:val="20"/>
        <w:szCs w:val="20"/>
      </w:rPr>
      <w:fldChar w:fldCharType="begin"/>
    </w:r>
    <w:r w:rsidRPr="002976F0">
      <w:rPr>
        <w:sz w:val="20"/>
        <w:szCs w:val="20"/>
      </w:rPr>
      <w:instrText xml:space="preserve"> PAGE   \* MERGEFORMAT </w:instrText>
    </w:r>
    <w:r w:rsidRPr="002976F0">
      <w:rPr>
        <w:sz w:val="20"/>
        <w:szCs w:val="20"/>
      </w:rPr>
      <w:fldChar w:fldCharType="separate"/>
    </w:r>
    <w:r w:rsidRPr="002976F0">
      <w:rPr>
        <w:noProof/>
        <w:sz w:val="20"/>
        <w:szCs w:val="20"/>
      </w:rPr>
      <w:t>1</w:t>
    </w:r>
    <w:r w:rsidRPr="002976F0">
      <w:rPr>
        <w:noProof/>
        <w:sz w:val="20"/>
        <w:szCs w:val="20"/>
      </w:rPr>
      <w:fldChar w:fldCharType="end"/>
    </w:r>
  </w:p>
  <w:p w14:paraId="420538BD" w14:textId="77777777" w:rsidR="002976F0" w:rsidRDefault="00297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F931" w14:textId="77777777" w:rsidR="002949ED" w:rsidRPr="005C742C" w:rsidRDefault="002949ED" w:rsidP="002949ED">
    <w:pPr>
      <w:pStyle w:val="Heading1"/>
      <w:jc w:val="center"/>
      <w:rPr>
        <w:rFonts w:cs="Arial"/>
        <w:sz w:val="24"/>
        <w:szCs w:val="24"/>
      </w:rPr>
    </w:pPr>
    <w:r w:rsidRPr="005C742C">
      <w:rPr>
        <w:rFonts w:cs="Arial"/>
        <w:sz w:val="24"/>
        <w:szCs w:val="24"/>
      </w:rPr>
      <w:t>IN THE SUPERIOR COURT OF THE VIRGIN ISLANDS</w:t>
    </w:r>
  </w:p>
  <w:p w14:paraId="10E6A85E" w14:textId="7BD5D046" w:rsidR="002949ED" w:rsidRDefault="002949ED" w:rsidP="002949ED">
    <w:pPr>
      <w:jc w:val="center"/>
      <w:rPr>
        <w:rFonts w:cs="Arial"/>
        <w:b/>
      </w:rPr>
    </w:pPr>
    <w:r w:rsidRPr="005C742C">
      <w:rPr>
        <w:rFonts w:cs="Arial"/>
        <w:b/>
      </w:rPr>
      <w:t>DIVISION OF ST. CROIX</w:t>
    </w:r>
  </w:p>
  <w:p w14:paraId="54A3FB20" w14:textId="77777777" w:rsidR="002949ED" w:rsidRDefault="002949ED" w:rsidP="002949ED">
    <w:pPr>
      <w:jc w:val="center"/>
      <w:rPr>
        <w:rFonts w:cs="Arial"/>
        <w:b/>
      </w:rPr>
    </w:pPr>
  </w:p>
  <w:p w14:paraId="59348885" w14:textId="77777777" w:rsidR="002949ED" w:rsidRDefault="00294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AA0"/>
    <w:multiLevelType w:val="hybridMultilevel"/>
    <w:tmpl w:val="DD1C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0485"/>
    <w:multiLevelType w:val="hybridMultilevel"/>
    <w:tmpl w:val="31C84E74"/>
    <w:lvl w:ilvl="0" w:tplc="26526C0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3E723F"/>
    <w:multiLevelType w:val="hybridMultilevel"/>
    <w:tmpl w:val="FF4C90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B24612"/>
    <w:multiLevelType w:val="hybridMultilevel"/>
    <w:tmpl w:val="39FCC182"/>
    <w:lvl w:ilvl="0" w:tplc="0134A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E4A62"/>
    <w:multiLevelType w:val="hybridMultilevel"/>
    <w:tmpl w:val="B2BED492"/>
    <w:lvl w:ilvl="0" w:tplc="80745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397CD4"/>
    <w:multiLevelType w:val="hybridMultilevel"/>
    <w:tmpl w:val="27AC6F4C"/>
    <w:lvl w:ilvl="0" w:tplc="0ABC3580">
      <w:numFmt w:val="bullet"/>
      <w:lvlText w:val="-"/>
      <w:lvlJc w:val="left"/>
      <w:pPr>
        <w:tabs>
          <w:tab w:val="num" w:pos="1080"/>
        </w:tabs>
        <w:ind w:left="1080" w:hanging="360"/>
      </w:pPr>
      <w:rPr>
        <w:rFonts w:ascii="Mangal" w:eastAsia="Times New Roman" w:hAnsi="Mang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514D6"/>
    <w:multiLevelType w:val="hybridMultilevel"/>
    <w:tmpl w:val="43AC7F36"/>
    <w:lvl w:ilvl="0" w:tplc="D9BE08CE">
      <w:start w:val="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163DC8"/>
    <w:multiLevelType w:val="hybridMultilevel"/>
    <w:tmpl w:val="DA1E4D3C"/>
    <w:lvl w:ilvl="0" w:tplc="31CE0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41937"/>
    <w:multiLevelType w:val="hybridMultilevel"/>
    <w:tmpl w:val="3C6C8304"/>
    <w:lvl w:ilvl="0" w:tplc="5BFA08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40986"/>
    <w:multiLevelType w:val="hybridMultilevel"/>
    <w:tmpl w:val="131A1A8A"/>
    <w:lvl w:ilvl="0" w:tplc="6248E1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00B78"/>
    <w:multiLevelType w:val="hybridMultilevel"/>
    <w:tmpl w:val="26E6B9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01C07"/>
    <w:multiLevelType w:val="hybridMultilevel"/>
    <w:tmpl w:val="3F8C548C"/>
    <w:lvl w:ilvl="0" w:tplc="A4F4A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B7C1D"/>
    <w:multiLevelType w:val="hybridMultilevel"/>
    <w:tmpl w:val="4372CF86"/>
    <w:lvl w:ilvl="0" w:tplc="CE60CDFE">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7F0CA0"/>
    <w:multiLevelType w:val="hybridMultilevel"/>
    <w:tmpl w:val="24B20D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2B3E0C"/>
    <w:multiLevelType w:val="hybridMultilevel"/>
    <w:tmpl w:val="BAD86984"/>
    <w:lvl w:ilvl="0" w:tplc="8DD0F372">
      <w:start w:val="1"/>
      <w:numFmt w:val="upperLetter"/>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6D56F8"/>
    <w:multiLevelType w:val="hybridMultilevel"/>
    <w:tmpl w:val="75525CAC"/>
    <w:lvl w:ilvl="0" w:tplc="0CDCBD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FB587D"/>
    <w:multiLevelType w:val="hybridMultilevel"/>
    <w:tmpl w:val="3D3EE16A"/>
    <w:lvl w:ilvl="0" w:tplc="57E20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70E4C"/>
    <w:multiLevelType w:val="hybridMultilevel"/>
    <w:tmpl w:val="227A22DE"/>
    <w:lvl w:ilvl="0" w:tplc="73F871C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E3E82"/>
    <w:multiLevelType w:val="hybridMultilevel"/>
    <w:tmpl w:val="0802B83A"/>
    <w:lvl w:ilvl="0" w:tplc="B98EFCD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A6787"/>
    <w:multiLevelType w:val="hybridMultilevel"/>
    <w:tmpl w:val="B366E1F2"/>
    <w:lvl w:ilvl="0" w:tplc="9326C770">
      <w:start w:val="1"/>
      <w:numFmt w:val="lowerRoman"/>
      <w:lvlText w:val="%1."/>
      <w:lvlJc w:val="left"/>
      <w:pPr>
        <w:ind w:left="216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B75F28"/>
    <w:multiLevelType w:val="hybridMultilevel"/>
    <w:tmpl w:val="7B2840E6"/>
    <w:lvl w:ilvl="0" w:tplc="F03A907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2741521">
    <w:abstractNumId w:val="1"/>
  </w:num>
  <w:num w:numId="2" w16cid:durableId="1368943162">
    <w:abstractNumId w:val="5"/>
  </w:num>
  <w:num w:numId="3" w16cid:durableId="1507942981">
    <w:abstractNumId w:val="7"/>
  </w:num>
  <w:num w:numId="4" w16cid:durableId="997265514">
    <w:abstractNumId w:val="17"/>
  </w:num>
  <w:num w:numId="5" w16cid:durableId="1793983458">
    <w:abstractNumId w:val="16"/>
  </w:num>
  <w:num w:numId="6" w16cid:durableId="1834251538">
    <w:abstractNumId w:val="15"/>
  </w:num>
  <w:num w:numId="7" w16cid:durableId="281111298">
    <w:abstractNumId w:val="0"/>
  </w:num>
  <w:num w:numId="8" w16cid:durableId="2143233693">
    <w:abstractNumId w:val="2"/>
  </w:num>
  <w:num w:numId="9" w16cid:durableId="335499450">
    <w:abstractNumId w:val="8"/>
  </w:num>
  <w:num w:numId="10" w16cid:durableId="1097990942">
    <w:abstractNumId w:val="4"/>
  </w:num>
  <w:num w:numId="11" w16cid:durableId="229198723">
    <w:abstractNumId w:val="10"/>
  </w:num>
  <w:num w:numId="12" w16cid:durableId="227424239">
    <w:abstractNumId w:val="13"/>
  </w:num>
  <w:num w:numId="13" w16cid:durableId="1026831184">
    <w:abstractNumId w:val="9"/>
  </w:num>
  <w:num w:numId="14" w16cid:durableId="1256205564">
    <w:abstractNumId w:val="11"/>
  </w:num>
  <w:num w:numId="15" w16cid:durableId="1955284910">
    <w:abstractNumId w:val="18"/>
  </w:num>
  <w:num w:numId="16" w16cid:durableId="1605575784">
    <w:abstractNumId w:val="12"/>
  </w:num>
  <w:num w:numId="17" w16cid:durableId="1127818868">
    <w:abstractNumId w:val="14"/>
  </w:num>
  <w:num w:numId="18" w16cid:durableId="11105878">
    <w:abstractNumId w:val="3"/>
  </w:num>
  <w:num w:numId="19" w16cid:durableId="1947342521">
    <w:abstractNumId w:val="6"/>
  </w:num>
  <w:num w:numId="20" w16cid:durableId="1303317046">
    <w:abstractNumId w:val="20"/>
  </w:num>
  <w:num w:numId="21" w16cid:durableId="401759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72"/>
    <w:rsid w:val="000128E8"/>
    <w:rsid w:val="0001798E"/>
    <w:rsid w:val="00021241"/>
    <w:rsid w:val="000275D1"/>
    <w:rsid w:val="00027652"/>
    <w:rsid w:val="00033207"/>
    <w:rsid w:val="00035F18"/>
    <w:rsid w:val="00036955"/>
    <w:rsid w:val="00040FE5"/>
    <w:rsid w:val="0004301D"/>
    <w:rsid w:val="000775B4"/>
    <w:rsid w:val="000A3992"/>
    <w:rsid w:val="000B5891"/>
    <w:rsid w:val="000C40D7"/>
    <w:rsid w:val="000C5E12"/>
    <w:rsid w:val="000E3665"/>
    <w:rsid w:val="000E45B6"/>
    <w:rsid w:val="000E6322"/>
    <w:rsid w:val="001017FD"/>
    <w:rsid w:val="00106CDB"/>
    <w:rsid w:val="00122373"/>
    <w:rsid w:val="001372F6"/>
    <w:rsid w:val="00144097"/>
    <w:rsid w:val="00165F72"/>
    <w:rsid w:val="001677B9"/>
    <w:rsid w:val="00170720"/>
    <w:rsid w:val="001714E4"/>
    <w:rsid w:val="00171EF8"/>
    <w:rsid w:val="0018655A"/>
    <w:rsid w:val="00192C5A"/>
    <w:rsid w:val="00197FCC"/>
    <w:rsid w:val="001A05A0"/>
    <w:rsid w:val="001B797B"/>
    <w:rsid w:val="001D2476"/>
    <w:rsid w:val="001D3672"/>
    <w:rsid w:val="001D3D7B"/>
    <w:rsid w:val="001D6695"/>
    <w:rsid w:val="00224C22"/>
    <w:rsid w:val="00230301"/>
    <w:rsid w:val="002376E5"/>
    <w:rsid w:val="002415E6"/>
    <w:rsid w:val="0024271D"/>
    <w:rsid w:val="00272F71"/>
    <w:rsid w:val="002949ED"/>
    <w:rsid w:val="0029702B"/>
    <w:rsid w:val="002976F0"/>
    <w:rsid w:val="002A63CA"/>
    <w:rsid w:val="002A6DC6"/>
    <w:rsid w:val="002B2A3C"/>
    <w:rsid w:val="002D730C"/>
    <w:rsid w:val="002E058D"/>
    <w:rsid w:val="002F2380"/>
    <w:rsid w:val="002F36F8"/>
    <w:rsid w:val="00305E10"/>
    <w:rsid w:val="00317D97"/>
    <w:rsid w:val="00321DDD"/>
    <w:rsid w:val="00343AB0"/>
    <w:rsid w:val="00344E94"/>
    <w:rsid w:val="00345733"/>
    <w:rsid w:val="00353AE4"/>
    <w:rsid w:val="003555D8"/>
    <w:rsid w:val="00375F0B"/>
    <w:rsid w:val="0039100A"/>
    <w:rsid w:val="003A725A"/>
    <w:rsid w:val="003D15CF"/>
    <w:rsid w:val="003D2B4E"/>
    <w:rsid w:val="003F4436"/>
    <w:rsid w:val="00414D93"/>
    <w:rsid w:val="00417AEF"/>
    <w:rsid w:val="00422499"/>
    <w:rsid w:val="00456055"/>
    <w:rsid w:val="004564FA"/>
    <w:rsid w:val="00456D1A"/>
    <w:rsid w:val="00461295"/>
    <w:rsid w:val="00465642"/>
    <w:rsid w:val="004776E0"/>
    <w:rsid w:val="0049034B"/>
    <w:rsid w:val="00492D20"/>
    <w:rsid w:val="00496A50"/>
    <w:rsid w:val="004A0257"/>
    <w:rsid w:val="004A06B4"/>
    <w:rsid w:val="004B3ACD"/>
    <w:rsid w:val="004C28BD"/>
    <w:rsid w:val="004C3194"/>
    <w:rsid w:val="004C3DB7"/>
    <w:rsid w:val="004C7C97"/>
    <w:rsid w:val="004D28C0"/>
    <w:rsid w:val="004F143C"/>
    <w:rsid w:val="004F527C"/>
    <w:rsid w:val="004F5F36"/>
    <w:rsid w:val="004F6D3C"/>
    <w:rsid w:val="00500EFA"/>
    <w:rsid w:val="00501F01"/>
    <w:rsid w:val="00527A09"/>
    <w:rsid w:val="00546375"/>
    <w:rsid w:val="0055311B"/>
    <w:rsid w:val="005571F4"/>
    <w:rsid w:val="00561B56"/>
    <w:rsid w:val="00581225"/>
    <w:rsid w:val="00597A85"/>
    <w:rsid w:val="005A7987"/>
    <w:rsid w:val="005B08A7"/>
    <w:rsid w:val="005B1149"/>
    <w:rsid w:val="005D2BEF"/>
    <w:rsid w:val="005D31E5"/>
    <w:rsid w:val="005E0003"/>
    <w:rsid w:val="005E72CE"/>
    <w:rsid w:val="005F69BB"/>
    <w:rsid w:val="006047DF"/>
    <w:rsid w:val="00606D06"/>
    <w:rsid w:val="0063504C"/>
    <w:rsid w:val="00635BAF"/>
    <w:rsid w:val="0064424F"/>
    <w:rsid w:val="00652FB3"/>
    <w:rsid w:val="00667ECE"/>
    <w:rsid w:val="00670C17"/>
    <w:rsid w:val="00674853"/>
    <w:rsid w:val="00681DF5"/>
    <w:rsid w:val="00690C75"/>
    <w:rsid w:val="00696D26"/>
    <w:rsid w:val="006A7C08"/>
    <w:rsid w:val="006B00BA"/>
    <w:rsid w:val="006B04AF"/>
    <w:rsid w:val="006B0DD3"/>
    <w:rsid w:val="006B3599"/>
    <w:rsid w:val="006B39B4"/>
    <w:rsid w:val="006D2B98"/>
    <w:rsid w:val="006E3395"/>
    <w:rsid w:val="006F466B"/>
    <w:rsid w:val="0070199B"/>
    <w:rsid w:val="00702CEE"/>
    <w:rsid w:val="00703564"/>
    <w:rsid w:val="00735A71"/>
    <w:rsid w:val="00740241"/>
    <w:rsid w:val="00754200"/>
    <w:rsid w:val="00755452"/>
    <w:rsid w:val="007562F3"/>
    <w:rsid w:val="00767136"/>
    <w:rsid w:val="00772BD0"/>
    <w:rsid w:val="00772C62"/>
    <w:rsid w:val="0078571E"/>
    <w:rsid w:val="007861CD"/>
    <w:rsid w:val="007A6AA5"/>
    <w:rsid w:val="007B04CA"/>
    <w:rsid w:val="007E0AE8"/>
    <w:rsid w:val="007F4D74"/>
    <w:rsid w:val="00804B0E"/>
    <w:rsid w:val="008065AB"/>
    <w:rsid w:val="00812207"/>
    <w:rsid w:val="00823F7E"/>
    <w:rsid w:val="00831FE5"/>
    <w:rsid w:val="008326B0"/>
    <w:rsid w:val="008363EA"/>
    <w:rsid w:val="008365C3"/>
    <w:rsid w:val="00852759"/>
    <w:rsid w:val="00856302"/>
    <w:rsid w:val="00865F8E"/>
    <w:rsid w:val="00870D25"/>
    <w:rsid w:val="008735D9"/>
    <w:rsid w:val="00876F9C"/>
    <w:rsid w:val="008832EE"/>
    <w:rsid w:val="008A725E"/>
    <w:rsid w:val="008B25D1"/>
    <w:rsid w:val="008B4A17"/>
    <w:rsid w:val="008B717C"/>
    <w:rsid w:val="008C1A94"/>
    <w:rsid w:val="008D0218"/>
    <w:rsid w:val="008D0894"/>
    <w:rsid w:val="008E1CDC"/>
    <w:rsid w:val="008E2F20"/>
    <w:rsid w:val="008E5216"/>
    <w:rsid w:val="00914545"/>
    <w:rsid w:val="00915143"/>
    <w:rsid w:val="009247F4"/>
    <w:rsid w:val="00931920"/>
    <w:rsid w:val="0094149F"/>
    <w:rsid w:val="00941A68"/>
    <w:rsid w:val="009472C2"/>
    <w:rsid w:val="00947CD0"/>
    <w:rsid w:val="009751C2"/>
    <w:rsid w:val="00982060"/>
    <w:rsid w:val="00983758"/>
    <w:rsid w:val="009C05CC"/>
    <w:rsid w:val="009C1AD5"/>
    <w:rsid w:val="009D6559"/>
    <w:rsid w:val="009F2AB4"/>
    <w:rsid w:val="00A07690"/>
    <w:rsid w:val="00A07DAD"/>
    <w:rsid w:val="00A13BCC"/>
    <w:rsid w:val="00A17BD5"/>
    <w:rsid w:val="00A23FEF"/>
    <w:rsid w:val="00A349BB"/>
    <w:rsid w:val="00A4189E"/>
    <w:rsid w:val="00A67BC1"/>
    <w:rsid w:val="00AB50C4"/>
    <w:rsid w:val="00AF2E0C"/>
    <w:rsid w:val="00B04805"/>
    <w:rsid w:val="00B054A8"/>
    <w:rsid w:val="00B05AA4"/>
    <w:rsid w:val="00B171A5"/>
    <w:rsid w:val="00B30407"/>
    <w:rsid w:val="00B370E9"/>
    <w:rsid w:val="00B41BBD"/>
    <w:rsid w:val="00B447DB"/>
    <w:rsid w:val="00B50143"/>
    <w:rsid w:val="00B70E5E"/>
    <w:rsid w:val="00B847BA"/>
    <w:rsid w:val="00BC4009"/>
    <w:rsid w:val="00BC57C9"/>
    <w:rsid w:val="00BD1C87"/>
    <w:rsid w:val="00BE76D3"/>
    <w:rsid w:val="00BF5230"/>
    <w:rsid w:val="00BF6E28"/>
    <w:rsid w:val="00C344DF"/>
    <w:rsid w:val="00C616DD"/>
    <w:rsid w:val="00C61F95"/>
    <w:rsid w:val="00C63DBE"/>
    <w:rsid w:val="00C64461"/>
    <w:rsid w:val="00C67CB2"/>
    <w:rsid w:val="00C704B2"/>
    <w:rsid w:val="00C915CF"/>
    <w:rsid w:val="00C9205B"/>
    <w:rsid w:val="00CA16BA"/>
    <w:rsid w:val="00CA7FFD"/>
    <w:rsid w:val="00CD2969"/>
    <w:rsid w:val="00CD376C"/>
    <w:rsid w:val="00CD3D4A"/>
    <w:rsid w:val="00CE7B71"/>
    <w:rsid w:val="00CF0093"/>
    <w:rsid w:val="00CF5DE8"/>
    <w:rsid w:val="00D03E6E"/>
    <w:rsid w:val="00D21053"/>
    <w:rsid w:val="00D50613"/>
    <w:rsid w:val="00D57B45"/>
    <w:rsid w:val="00D73176"/>
    <w:rsid w:val="00D744FD"/>
    <w:rsid w:val="00D92630"/>
    <w:rsid w:val="00D96262"/>
    <w:rsid w:val="00DC26A2"/>
    <w:rsid w:val="00DC6A24"/>
    <w:rsid w:val="00DD4934"/>
    <w:rsid w:val="00DD5AB9"/>
    <w:rsid w:val="00DD7754"/>
    <w:rsid w:val="00DE5F4B"/>
    <w:rsid w:val="00DF3B7A"/>
    <w:rsid w:val="00E001DA"/>
    <w:rsid w:val="00E15CDD"/>
    <w:rsid w:val="00E2649E"/>
    <w:rsid w:val="00E376F9"/>
    <w:rsid w:val="00E63CC0"/>
    <w:rsid w:val="00E75BE0"/>
    <w:rsid w:val="00EA37CC"/>
    <w:rsid w:val="00EB3182"/>
    <w:rsid w:val="00EB43EC"/>
    <w:rsid w:val="00ED014A"/>
    <w:rsid w:val="00ED6437"/>
    <w:rsid w:val="00F00238"/>
    <w:rsid w:val="00F005BB"/>
    <w:rsid w:val="00F11FFB"/>
    <w:rsid w:val="00F202FD"/>
    <w:rsid w:val="00F3463D"/>
    <w:rsid w:val="00F35A5E"/>
    <w:rsid w:val="00F41866"/>
    <w:rsid w:val="00F432D2"/>
    <w:rsid w:val="00F5359C"/>
    <w:rsid w:val="00F57DE9"/>
    <w:rsid w:val="00F80CE6"/>
    <w:rsid w:val="00F9540A"/>
    <w:rsid w:val="00FA27BF"/>
    <w:rsid w:val="00FA70EC"/>
    <w:rsid w:val="00FB47CF"/>
    <w:rsid w:val="00FF4370"/>
    <w:rsid w:val="00FF64CD"/>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D4BC"/>
  <w15:chartTrackingRefBased/>
  <w15:docId w15:val="{E3654373-2853-E642-9685-0D008BD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72"/>
    <w:rPr>
      <w:rFonts w:ascii="Arial" w:eastAsia="Times New Roman" w:hAnsi="Arial" w:cs="Times New Roman"/>
      <w:lang w:val="en-US"/>
    </w:rPr>
  </w:style>
  <w:style w:type="paragraph" w:styleId="Heading1">
    <w:name w:val="heading 1"/>
    <w:basedOn w:val="Normal"/>
    <w:next w:val="Normal"/>
    <w:link w:val="Heading1Char"/>
    <w:uiPriority w:val="9"/>
    <w:qFormat/>
    <w:rsid w:val="00165F7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7035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40D7"/>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72"/>
    <w:rPr>
      <w:rFonts w:ascii="Arial" w:eastAsiaTheme="majorEastAsia" w:hAnsi="Arial" w:cstheme="majorBidi"/>
      <w:b/>
      <w:bCs/>
      <w:color w:val="000000" w:themeColor="text1"/>
      <w:sz w:val="28"/>
      <w:szCs w:val="28"/>
      <w:lang w:val="en-US"/>
    </w:rPr>
  </w:style>
  <w:style w:type="paragraph" w:customStyle="1" w:styleId="yiv784145645msonormal">
    <w:name w:val="yiv784145645msonormal"/>
    <w:basedOn w:val="Normal"/>
    <w:rsid w:val="00165F7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65F72"/>
    <w:rPr>
      <w:color w:val="0563C1" w:themeColor="hyperlink"/>
      <w:u w:val="single"/>
    </w:rPr>
  </w:style>
  <w:style w:type="paragraph" w:styleId="Footer">
    <w:name w:val="footer"/>
    <w:basedOn w:val="Normal"/>
    <w:link w:val="FooterChar"/>
    <w:uiPriority w:val="99"/>
    <w:unhideWhenUsed/>
    <w:rsid w:val="00165F72"/>
    <w:pPr>
      <w:tabs>
        <w:tab w:val="center" w:pos="4680"/>
        <w:tab w:val="right" w:pos="9360"/>
      </w:tabs>
    </w:pPr>
  </w:style>
  <w:style w:type="character" w:customStyle="1" w:styleId="FooterChar">
    <w:name w:val="Footer Char"/>
    <w:basedOn w:val="DefaultParagraphFont"/>
    <w:link w:val="Footer"/>
    <w:uiPriority w:val="99"/>
    <w:rsid w:val="00165F72"/>
    <w:rPr>
      <w:rFonts w:ascii="Arial" w:eastAsia="Times New Roman" w:hAnsi="Arial" w:cs="Times New Roman"/>
      <w:lang w:val="en-US"/>
    </w:rPr>
  </w:style>
  <w:style w:type="character" w:styleId="PageNumber">
    <w:name w:val="page number"/>
    <w:basedOn w:val="DefaultParagraphFont"/>
    <w:uiPriority w:val="99"/>
    <w:semiHidden/>
    <w:unhideWhenUsed/>
    <w:rsid w:val="00165F72"/>
  </w:style>
  <w:style w:type="character" w:styleId="UnresolvedMention">
    <w:name w:val="Unresolved Mention"/>
    <w:basedOn w:val="DefaultParagraphFont"/>
    <w:uiPriority w:val="99"/>
    <w:semiHidden/>
    <w:unhideWhenUsed/>
    <w:rsid w:val="008B717C"/>
    <w:rPr>
      <w:color w:val="605E5C"/>
      <w:shd w:val="clear" w:color="auto" w:fill="E1DFDD"/>
    </w:rPr>
  </w:style>
  <w:style w:type="character" w:customStyle="1" w:styleId="Heading4Char">
    <w:name w:val="Heading 4 Char"/>
    <w:basedOn w:val="DefaultParagraphFont"/>
    <w:link w:val="Heading4"/>
    <w:uiPriority w:val="9"/>
    <w:rsid w:val="000C40D7"/>
    <w:rPr>
      <w:rFonts w:asciiTheme="majorHAnsi" w:eastAsiaTheme="majorEastAsia" w:hAnsiTheme="majorHAnsi" w:cstheme="majorBidi"/>
      <w:i/>
      <w:iCs/>
      <w:color w:val="2F5496" w:themeColor="accent1" w:themeShade="BF"/>
      <w:sz w:val="22"/>
      <w:szCs w:val="22"/>
      <w:lang w:val="en-US"/>
    </w:rPr>
  </w:style>
  <w:style w:type="paragraph" w:styleId="ListParagraph">
    <w:name w:val="List Paragraph"/>
    <w:basedOn w:val="Normal"/>
    <w:uiPriority w:val="34"/>
    <w:qFormat/>
    <w:rsid w:val="002976F0"/>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2976F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976F0"/>
    <w:rPr>
      <w:sz w:val="20"/>
      <w:szCs w:val="20"/>
      <w:lang w:val="en-US"/>
    </w:rPr>
  </w:style>
  <w:style w:type="character" w:styleId="FootnoteReference">
    <w:name w:val="footnote reference"/>
    <w:basedOn w:val="DefaultParagraphFont"/>
    <w:uiPriority w:val="99"/>
    <w:semiHidden/>
    <w:unhideWhenUsed/>
    <w:rsid w:val="002976F0"/>
    <w:rPr>
      <w:vertAlign w:val="superscript"/>
    </w:rPr>
  </w:style>
  <w:style w:type="paragraph" w:customStyle="1" w:styleId="Default">
    <w:name w:val="Default"/>
    <w:rsid w:val="002976F0"/>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2976F0"/>
    <w:pPr>
      <w:tabs>
        <w:tab w:val="center" w:pos="4680"/>
        <w:tab w:val="right" w:pos="9360"/>
      </w:tabs>
    </w:pPr>
  </w:style>
  <w:style w:type="character" w:customStyle="1" w:styleId="HeaderChar">
    <w:name w:val="Header Char"/>
    <w:basedOn w:val="DefaultParagraphFont"/>
    <w:link w:val="Header"/>
    <w:uiPriority w:val="99"/>
    <w:rsid w:val="002976F0"/>
    <w:rPr>
      <w:rFonts w:ascii="Arial" w:eastAsia="Times New Roman" w:hAnsi="Arial" w:cs="Times New Roman"/>
      <w:lang w:val="en-US"/>
    </w:rPr>
  </w:style>
  <w:style w:type="character" w:customStyle="1" w:styleId="Heading2Char">
    <w:name w:val="Heading 2 Char"/>
    <w:basedOn w:val="DefaultParagraphFont"/>
    <w:link w:val="Heading2"/>
    <w:uiPriority w:val="9"/>
    <w:semiHidden/>
    <w:rsid w:val="00703564"/>
    <w:rPr>
      <w:rFonts w:asciiTheme="majorHAnsi" w:eastAsiaTheme="majorEastAsia" w:hAnsiTheme="majorHAnsi" w:cstheme="majorBidi"/>
      <w:color w:val="2F5496" w:themeColor="accent1" w:themeShade="BF"/>
      <w:sz w:val="26"/>
      <w:szCs w:val="26"/>
      <w:lang w:val="en-US"/>
    </w:rPr>
  </w:style>
  <w:style w:type="character" w:customStyle="1" w:styleId="sssh">
    <w:name w:val="ss_sh"/>
    <w:basedOn w:val="DefaultParagraphFont"/>
    <w:rsid w:val="0018655A"/>
  </w:style>
  <w:style w:type="character" w:customStyle="1" w:styleId="ssit">
    <w:name w:val="ss_it"/>
    <w:basedOn w:val="DefaultParagraphFont"/>
    <w:rsid w:val="0094149F"/>
  </w:style>
  <w:style w:type="character" w:customStyle="1" w:styleId="ssrfcsection">
    <w:name w:val="ss_rfcsection"/>
    <w:basedOn w:val="DefaultParagraphFont"/>
    <w:rsid w:val="0063504C"/>
  </w:style>
  <w:style w:type="character" w:styleId="Strong">
    <w:name w:val="Strong"/>
    <w:basedOn w:val="DefaultParagraphFont"/>
    <w:uiPriority w:val="22"/>
    <w:qFormat/>
    <w:rsid w:val="004A0257"/>
    <w:rPr>
      <w:b/>
      <w:bCs/>
    </w:rPr>
  </w:style>
  <w:style w:type="character" w:customStyle="1" w:styleId="ssrfcpassagedeactivated">
    <w:name w:val="ss_rfcpassage_deactivated"/>
    <w:basedOn w:val="DefaultParagraphFont"/>
    <w:rsid w:val="00353AE4"/>
  </w:style>
  <w:style w:type="paragraph" w:styleId="NormalWeb">
    <w:name w:val="Normal (Web)"/>
    <w:basedOn w:val="Normal"/>
    <w:uiPriority w:val="99"/>
    <w:semiHidden/>
    <w:unhideWhenUsed/>
    <w:rsid w:val="000E6322"/>
    <w:pPr>
      <w:spacing w:before="100" w:beforeAutospacing="1" w:after="100" w:afterAutospacing="1"/>
    </w:pPr>
    <w:rPr>
      <w:rFonts w:ascii="Times New Roman" w:hAnsi="Times New Roman"/>
    </w:rPr>
  </w:style>
  <w:style w:type="character" w:customStyle="1" w:styleId="sh1768352402">
    <w:name w:val="sh_1768352402"/>
    <w:basedOn w:val="DefaultParagraphFont"/>
    <w:rsid w:val="005F69BB"/>
  </w:style>
  <w:style w:type="character" w:customStyle="1" w:styleId="ssun">
    <w:name w:val="ss_un"/>
    <w:basedOn w:val="DefaultParagraphFont"/>
    <w:rsid w:val="005F69BB"/>
  </w:style>
  <w:style w:type="character" w:customStyle="1" w:styleId="sh3500254742">
    <w:name w:val="sh_3500254742"/>
    <w:basedOn w:val="DefaultParagraphFont"/>
    <w:rsid w:val="005F69BB"/>
  </w:style>
  <w:style w:type="character" w:customStyle="1" w:styleId="sh1335978773">
    <w:name w:val="sh_1335978773"/>
    <w:basedOn w:val="DefaultParagraphFont"/>
    <w:rsid w:val="0078571E"/>
  </w:style>
  <w:style w:type="character" w:customStyle="1" w:styleId="ssib">
    <w:name w:val="ss_ib"/>
    <w:basedOn w:val="DefaultParagraphFont"/>
    <w:rsid w:val="0078571E"/>
  </w:style>
  <w:style w:type="character" w:customStyle="1" w:styleId="ssbf">
    <w:name w:val="ss_bf"/>
    <w:basedOn w:val="DefaultParagraphFont"/>
    <w:rsid w:val="00305E10"/>
  </w:style>
  <w:style w:type="character" w:customStyle="1" w:styleId="ssparalabel">
    <w:name w:val="ss_paralabel"/>
    <w:basedOn w:val="DefaultParagraphFont"/>
    <w:rsid w:val="00305E10"/>
  </w:style>
  <w:style w:type="character" w:customStyle="1" w:styleId="ssparacontent">
    <w:name w:val="ss_paracontent"/>
    <w:basedOn w:val="DefaultParagraphFont"/>
    <w:rsid w:val="0030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376">
      <w:bodyDiv w:val="1"/>
      <w:marLeft w:val="0"/>
      <w:marRight w:val="0"/>
      <w:marTop w:val="0"/>
      <w:marBottom w:val="0"/>
      <w:divBdr>
        <w:top w:val="none" w:sz="0" w:space="0" w:color="auto"/>
        <w:left w:val="none" w:sz="0" w:space="0" w:color="auto"/>
        <w:bottom w:val="none" w:sz="0" w:space="0" w:color="auto"/>
        <w:right w:val="none" w:sz="0" w:space="0" w:color="auto"/>
      </w:divBdr>
      <w:divsChild>
        <w:div w:id="939529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52566971">
      <w:bodyDiv w:val="1"/>
      <w:marLeft w:val="0"/>
      <w:marRight w:val="0"/>
      <w:marTop w:val="0"/>
      <w:marBottom w:val="0"/>
      <w:divBdr>
        <w:top w:val="none" w:sz="0" w:space="0" w:color="auto"/>
        <w:left w:val="none" w:sz="0" w:space="0" w:color="auto"/>
        <w:bottom w:val="none" w:sz="0" w:space="0" w:color="auto"/>
        <w:right w:val="none" w:sz="0" w:space="0" w:color="auto"/>
      </w:divBdr>
      <w:divsChild>
        <w:div w:id="1150252752">
          <w:marLeft w:val="0"/>
          <w:marRight w:val="0"/>
          <w:marTop w:val="75"/>
          <w:marBottom w:val="0"/>
          <w:divBdr>
            <w:top w:val="none" w:sz="0" w:space="0" w:color="auto"/>
            <w:left w:val="none" w:sz="0" w:space="0" w:color="auto"/>
            <w:bottom w:val="none" w:sz="0" w:space="0" w:color="auto"/>
            <w:right w:val="none" w:sz="0" w:space="0" w:color="auto"/>
          </w:divBdr>
          <w:divsChild>
            <w:div w:id="1500390664">
              <w:marLeft w:val="0"/>
              <w:marRight w:val="0"/>
              <w:marTop w:val="0"/>
              <w:marBottom w:val="0"/>
              <w:divBdr>
                <w:top w:val="none" w:sz="0" w:space="0" w:color="auto"/>
                <w:left w:val="none" w:sz="0" w:space="0" w:color="auto"/>
                <w:bottom w:val="none" w:sz="0" w:space="0" w:color="auto"/>
                <w:right w:val="none" w:sz="0" w:space="0" w:color="auto"/>
              </w:divBdr>
              <w:divsChild>
                <w:div w:id="1012033168">
                  <w:marLeft w:val="0"/>
                  <w:marRight w:val="0"/>
                  <w:marTop w:val="100"/>
                  <w:marBottom w:val="100"/>
                  <w:divBdr>
                    <w:top w:val="single" w:sz="6" w:space="26" w:color="BCBEC0"/>
                    <w:left w:val="single" w:sz="6" w:space="26" w:color="BCBEC0"/>
                    <w:bottom w:val="single" w:sz="6" w:space="26" w:color="BCBEC0"/>
                    <w:right w:val="single" w:sz="6" w:space="26" w:color="BCBEC0"/>
                  </w:divBdr>
                  <w:divsChild>
                    <w:div w:id="57287015">
                      <w:marLeft w:val="0"/>
                      <w:marRight w:val="0"/>
                      <w:marTop w:val="0"/>
                      <w:marBottom w:val="0"/>
                      <w:divBdr>
                        <w:top w:val="none" w:sz="0" w:space="0" w:color="auto"/>
                        <w:left w:val="none" w:sz="0" w:space="0" w:color="auto"/>
                        <w:bottom w:val="none" w:sz="0" w:space="0" w:color="auto"/>
                        <w:right w:val="none" w:sz="0" w:space="0" w:color="auto"/>
                      </w:divBdr>
                    </w:div>
                    <w:div w:id="1768430362">
                      <w:marLeft w:val="0"/>
                      <w:marRight w:val="0"/>
                      <w:marTop w:val="0"/>
                      <w:marBottom w:val="0"/>
                      <w:divBdr>
                        <w:top w:val="none" w:sz="0" w:space="0" w:color="auto"/>
                        <w:left w:val="none" w:sz="0" w:space="0" w:color="auto"/>
                        <w:bottom w:val="none" w:sz="0" w:space="0" w:color="auto"/>
                        <w:right w:val="none" w:sz="0" w:space="0" w:color="auto"/>
                      </w:divBdr>
                      <w:divsChild>
                        <w:div w:id="1757245203">
                          <w:marLeft w:val="0"/>
                          <w:marRight w:val="0"/>
                          <w:marTop w:val="0"/>
                          <w:marBottom w:val="0"/>
                          <w:divBdr>
                            <w:top w:val="none" w:sz="0" w:space="0" w:color="auto"/>
                            <w:left w:val="none" w:sz="0" w:space="0" w:color="auto"/>
                            <w:bottom w:val="none" w:sz="0" w:space="0" w:color="auto"/>
                            <w:right w:val="none" w:sz="0" w:space="0" w:color="auto"/>
                          </w:divBdr>
                          <w:divsChild>
                            <w:div w:id="1653294044">
                              <w:marLeft w:val="0"/>
                              <w:marRight w:val="0"/>
                              <w:marTop w:val="0"/>
                              <w:marBottom w:val="0"/>
                              <w:divBdr>
                                <w:top w:val="none" w:sz="0" w:space="0" w:color="auto"/>
                                <w:left w:val="none" w:sz="0" w:space="0" w:color="auto"/>
                                <w:bottom w:val="none" w:sz="0" w:space="0" w:color="auto"/>
                                <w:right w:val="none" w:sz="0" w:space="0" w:color="auto"/>
                              </w:divBdr>
                            </w:div>
                            <w:div w:id="2109082670">
                              <w:marLeft w:val="0"/>
                              <w:marRight w:val="0"/>
                              <w:marTop w:val="0"/>
                              <w:marBottom w:val="0"/>
                              <w:divBdr>
                                <w:top w:val="none" w:sz="0" w:space="0" w:color="auto"/>
                                <w:left w:val="none" w:sz="0" w:space="0" w:color="auto"/>
                                <w:bottom w:val="none" w:sz="0" w:space="0" w:color="auto"/>
                                <w:right w:val="none" w:sz="0" w:space="0" w:color="auto"/>
                              </w:divBdr>
                            </w:div>
                            <w:div w:id="1870993094">
                              <w:marLeft w:val="0"/>
                              <w:marRight w:val="0"/>
                              <w:marTop w:val="0"/>
                              <w:marBottom w:val="0"/>
                              <w:divBdr>
                                <w:top w:val="none" w:sz="0" w:space="0" w:color="auto"/>
                                <w:left w:val="none" w:sz="0" w:space="0" w:color="auto"/>
                                <w:bottom w:val="none" w:sz="0" w:space="0" w:color="auto"/>
                                <w:right w:val="none" w:sz="0" w:space="0" w:color="auto"/>
                              </w:divBdr>
                            </w:div>
                            <w:div w:id="572013886">
                              <w:marLeft w:val="0"/>
                              <w:marRight w:val="0"/>
                              <w:marTop w:val="0"/>
                              <w:marBottom w:val="0"/>
                              <w:divBdr>
                                <w:top w:val="none" w:sz="0" w:space="0" w:color="auto"/>
                                <w:left w:val="none" w:sz="0" w:space="0" w:color="auto"/>
                                <w:bottom w:val="none" w:sz="0" w:space="0" w:color="auto"/>
                                <w:right w:val="none" w:sz="0" w:space="0" w:color="auto"/>
                              </w:divBdr>
                            </w:div>
                            <w:div w:id="1051272045">
                              <w:marLeft w:val="0"/>
                              <w:marRight w:val="0"/>
                              <w:marTop w:val="0"/>
                              <w:marBottom w:val="0"/>
                              <w:divBdr>
                                <w:top w:val="none" w:sz="0" w:space="0" w:color="auto"/>
                                <w:left w:val="none" w:sz="0" w:space="0" w:color="auto"/>
                                <w:bottom w:val="none" w:sz="0" w:space="0" w:color="auto"/>
                                <w:right w:val="none" w:sz="0" w:space="0" w:color="auto"/>
                              </w:divBdr>
                            </w:div>
                            <w:div w:id="2055544886">
                              <w:marLeft w:val="0"/>
                              <w:marRight w:val="0"/>
                              <w:marTop w:val="0"/>
                              <w:marBottom w:val="0"/>
                              <w:divBdr>
                                <w:top w:val="none" w:sz="0" w:space="0" w:color="auto"/>
                                <w:left w:val="none" w:sz="0" w:space="0" w:color="auto"/>
                                <w:bottom w:val="none" w:sz="0" w:space="0" w:color="auto"/>
                                <w:right w:val="none" w:sz="0" w:space="0" w:color="auto"/>
                              </w:divBdr>
                            </w:div>
                            <w:div w:id="2018653900">
                              <w:marLeft w:val="0"/>
                              <w:marRight w:val="0"/>
                              <w:marTop w:val="0"/>
                              <w:marBottom w:val="0"/>
                              <w:divBdr>
                                <w:top w:val="none" w:sz="0" w:space="0" w:color="auto"/>
                                <w:left w:val="none" w:sz="0" w:space="0" w:color="auto"/>
                                <w:bottom w:val="none" w:sz="0" w:space="0" w:color="auto"/>
                                <w:right w:val="none" w:sz="0" w:space="0" w:color="auto"/>
                              </w:divBdr>
                            </w:div>
                            <w:div w:id="1139491668">
                              <w:marLeft w:val="0"/>
                              <w:marRight w:val="0"/>
                              <w:marTop w:val="0"/>
                              <w:marBottom w:val="0"/>
                              <w:divBdr>
                                <w:top w:val="none" w:sz="0" w:space="0" w:color="auto"/>
                                <w:left w:val="none" w:sz="0" w:space="0" w:color="auto"/>
                                <w:bottom w:val="none" w:sz="0" w:space="0" w:color="auto"/>
                                <w:right w:val="none" w:sz="0" w:space="0" w:color="auto"/>
                              </w:divBdr>
                            </w:div>
                            <w:div w:id="477499095">
                              <w:marLeft w:val="0"/>
                              <w:marRight w:val="0"/>
                              <w:marTop w:val="0"/>
                              <w:marBottom w:val="0"/>
                              <w:divBdr>
                                <w:top w:val="none" w:sz="0" w:space="0" w:color="auto"/>
                                <w:left w:val="none" w:sz="0" w:space="0" w:color="auto"/>
                                <w:bottom w:val="none" w:sz="0" w:space="0" w:color="auto"/>
                                <w:right w:val="none" w:sz="0" w:space="0" w:color="auto"/>
                              </w:divBdr>
                            </w:div>
                            <w:div w:id="68692909">
                              <w:marLeft w:val="0"/>
                              <w:marRight w:val="0"/>
                              <w:marTop w:val="0"/>
                              <w:marBottom w:val="0"/>
                              <w:divBdr>
                                <w:top w:val="none" w:sz="0" w:space="0" w:color="auto"/>
                                <w:left w:val="none" w:sz="0" w:space="0" w:color="auto"/>
                                <w:bottom w:val="none" w:sz="0" w:space="0" w:color="auto"/>
                                <w:right w:val="none" w:sz="0" w:space="0" w:color="auto"/>
                              </w:divBdr>
                            </w:div>
                            <w:div w:id="1701319369">
                              <w:marLeft w:val="0"/>
                              <w:marRight w:val="0"/>
                              <w:marTop w:val="0"/>
                              <w:marBottom w:val="0"/>
                              <w:divBdr>
                                <w:top w:val="none" w:sz="0" w:space="0" w:color="auto"/>
                                <w:left w:val="none" w:sz="0" w:space="0" w:color="auto"/>
                                <w:bottom w:val="none" w:sz="0" w:space="0" w:color="auto"/>
                                <w:right w:val="none" w:sz="0" w:space="0" w:color="auto"/>
                              </w:divBdr>
                            </w:div>
                            <w:div w:id="248655992">
                              <w:marLeft w:val="0"/>
                              <w:marRight w:val="0"/>
                              <w:marTop w:val="0"/>
                              <w:marBottom w:val="0"/>
                              <w:divBdr>
                                <w:top w:val="none" w:sz="0" w:space="0" w:color="auto"/>
                                <w:left w:val="none" w:sz="0" w:space="0" w:color="auto"/>
                                <w:bottom w:val="none" w:sz="0" w:space="0" w:color="auto"/>
                                <w:right w:val="none" w:sz="0" w:space="0" w:color="auto"/>
                              </w:divBdr>
                            </w:div>
                            <w:div w:id="809249921">
                              <w:marLeft w:val="0"/>
                              <w:marRight w:val="0"/>
                              <w:marTop w:val="0"/>
                              <w:marBottom w:val="0"/>
                              <w:divBdr>
                                <w:top w:val="none" w:sz="0" w:space="0" w:color="auto"/>
                                <w:left w:val="none" w:sz="0" w:space="0" w:color="auto"/>
                                <w:bottom w:val="none" w:sz="0" w:space="0" w:color="auto"/>
                                <w:right w:val="none" w:sz="0" w:space="0" w:color="auto"/>
                              </w:divBdr>
                            </w:div>
                          </w:divsChild>
                        </w:div>
                        <w:div w:id="1200818438">
                          <w:marLeft w:val="0"/>
                          <w:marRight w:val="0"/>
                          <w:marTop w:val="0"/>
                          <w:marBottom w:val="0"/>
                          <w:divBdr>
                            <w:top w:val="none" w:sz="0" w:space="0" w:color="auto"/>
                            <w:left w:val="none" w:sz="0" w:space="0" w:color="auto"/>
                            <w:bottom w:val="none" w:sz="0" w:space="0" w:color="auto"/>
                            <w:right w:val="none" w:sz="0" w:space="0" w:color="auto"/>
                          </w:divBdr>
                        </w:div>
                        <w:div w:id="817570909">
                          <w:blockQuote w:val="1"/>
                          <w:marLeft w:val="600"/>
                          <w:marRight w:val="600"/>
                          <w:marTop w:val="240"/>
                          <w:marBottom w:val="240"/>
                          <w:divBdr>
                            <w:top w:val="none" w:sz="0" w:space="0" w:color="auto"/>
                            <w:left w:val="none" w:sz="0" w:space="0" w:color="auto"/>
                            <w:bottom w:val="none" w:sz="0" w:space="0" w:color="auto"/>
                            <w:right w:val="none" w:sz="0" w:space="0" w:color="auto"/>
                          </w:divBdr>
                        </w:div>
                        <w:div w:id="67446185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5573834">
      <w:bodyDiv w:val="1"/>
      <w:marLeft w:val="0"/>
      <w:marRight w:val="0"/>
      <w:marTop w:val="0"/>
      <w:marBottom w:val="0"/>
      <w:divBdr>
        <w:top w:val="none" w:sz="0" w:space="0" w:color="auto"/>
        <w:left w:val="none" w:sz="0" w:space="0" w:color="auto"/>
        <w:bottom w:val="none" w:sz="0" w:space="0" w:color="auto"/>
        <w:right w:val="none" w:sz="0" w:space="0" w:color="auto"/>
      </w:divBdr>
    </w:div>
    <w:div w:id="1134329558">
      <w:bodyDiv w:val="1"/>
      <w:marLeft w:val="0"/>
      <w:marRight w:val="0"/>
      <w:marTop w:val="0"/>
      <w:marBottom w:val="0"/>
      <w:divBdr>
        <w:top w:val="none" w:sz="0" w:space="0" w:color="auto"/>
        <w:left w:val="none" w:sz="0" w:space="0" w:color="auto"/>
        <w:bottom w:val="none" w:sz="0" w:space="0" w:color="auto"/>
        <w:right w:val="none" w:sz="0" w:space="0" w:color="auto"/>
      </w:divBdr>
    </w:div>
    <w:div w:id="1820416174">
      <w:bodyDiv w:val="1"/>
      <w:marLeft w:val="0"/>
      <w:marRight w:val="0"/>
      <w:marTop w:val="0"/>
      <w:marBottom w:val="0"/>
      <w:divBdr>
        <w:top w:val="none" w:sz="0" w:space="0" w:color="auto"/>
        <w:left w:val="none" w:sz="0" w:space="0" w:color="auto"/>
        <w:bottom w:val="none" w:sz="0" w:space="0" w:color="auto"/>
        <w:right w:val="none" w:sz="0" w:space="0" w:color="auto"/>
      </w:divBdr>
      <w:divsChild>
        <w:div w:id="335811842">
          <w:marLeft w:val="0"/>
          <w:marRight w:val="0"/>
          <w:marTop w:val="0"/>
          <w:marBottom w:val="0"/>
          <w:divBdr>
            <w:top w:val="none" w:sz="0" w:space="0" w:color="auto"/>
            <w:left w:val="none" w:sz="0" w:space="0" w:color="auto"/>
            <w:bottom w:val="none" w:sz="0" w:space="0" w:color="auto"/>
            <w:right w:val="none" w:sz="0" w:space="0" w:color="auto"/>
          </w:divBdr>
        </w:div>
        <w:div w:id="1903177000">
          <w:marLeft w:val="0"/>
          <w:marRight w:val="0"/>
          <w:marTop w:val="0"/>
          <w:marBottom w:val="0"/>
          <w:divBdr>
            <w:top w:val="none" w:sz="0" w:space="0" w:color="auto"/>
            <w:left w:val="none" w:sz="0" w:space="0" w:color="auto"/>
            <w:bottom w:val="none" w:sz="0" w:space="0" w:color="auto"/>
            <w:right w:val="none" w:sz="0" w:space="0" w:color="auto"/>
          </w:divBdr>
        </w:div>
      </w:divsChild>
    </w:div>
    <w:div w:id="19563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96F1-1782-4137-AEF5-060F8DF0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Holt</dc:creator>
  <cp:keywords/>
  <dc:description/>
  <cp:lastModifiedBy>Carl Hartmann</cp:lastModifiedBy>
  <cp:revision>2</cp:revision>
  <dcterms:created xsi:type="dcterms:W3CDTF">2022-12-19T02:00:00Z</dcterms:created>
  <dcterms:modified xsi:type="dcterms:W3CDTF">2022-12-19T02:00:00Z</dcterms:modified>
</cp:coreProperties>
</file>